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061A1" w14:textId="04F36744" w:rsidR="00EA3973" w:rsidRPr="00807311" w:rsidRDefault="00EA3973" w:rsidP="006C6C8A">
      <w:pPr>
        <w:jc w:val="center"/>
        <w:rPr>
          <w:rFonts w:ascii="Arial" w:hAnsi="Arial" w:cs="Arial"/>
          <w:b/>
          <w:bCs/>
          <w:iCs/>
          <w:sz w:val="28"/>
          <w:szCs w:val="28"/>
        </w:rPr>
      </w:pPr>
      <w:r w:rsidRPr="00807311">
        <w:rPr>
          <w:rFonts w:ascii="Arial" w:hAnsi="Arial" w:cs="Arial"/>
          <w:b/>
          <w:bCs/>
          <w:iCs/>
          <w:sz w:val="28"/>
          <w:szCs w:val="28"/>
        </w:rPr>
        <w:t xml:space="preserve">EURO SUN </w:t>
      </w:r>
      <w:r w:rsidR="001F21C7">
        <w:rPr>
          <w:rFonts w:ascii="Arial" w:hAnsi="Arial" w:cs="Arial"/>
          <w:b/>
          <w:bCs/>
          <w:iCs/>
          <w:sz w:val="28"/>
          <w:szCs w:val="28"/>
        </w:rPr>
        <w:t xml:space="preserve">INCREASES </w:t>
      </w:r>
      <w:r w:rsidR="006C6C8A">
        <w:rPr>
          <w:rFonts w:ascii="Arial" w:hAnsi="Arial" w:cs="Arial"/>
          <w:b/>
          <w:bCs/>
          <w:iCs/>
          <w:sz w:val="28"/>
          <w:szCs w:val="28"/>
        </w:rPr>
        <w:t xml:space="preserve">NPV BY </w:t>
      </w:r>
      <w:r w:rsidR="00E52C9E">
        <w:rPr>
          <w:rFonts w:ascii="Arial" w:hAnsi="Arial" w:cs="Arial"/>
          <w:b/>
          <w:bCs/>
          <w:iCs/>
          <w:sz w:val="28"/>
          <w:szCs w:val="28"/>
        </w:rPr>
        <w:t>41</w:t>
      </w:r>
      <w:r w:rsidR="006C6C8A">
        <w:rPr>
          <w:rFonts w:ascii="Arial" w:hAnsi="Arial" w:cs="Arial"/>
          <w:b/>
          <w:bCs/>
          <w:iCs/>
          <w:sz w:val="28"/>
          <w:szCs w:val="28"/>
        </w:rPr>
        <w:t>% TO $</w:t>
      </w:r>
      <w:r w:rsidR="00E52C9E">
        <w:rPr>
          <w:rFonts w:ascii="Arial" w:hAnsi="Arial" w:cs="Arial"/>
          <w:b/>
          <w:bCs/>
          <w:iCs/>
          <w:sz w:val="28"/>
          <w:szCs w:val="28"/>
        </w:rPr>
        <w:t xml:space="preserve">630 </w:t>
      </w:r>
      <w:r w:rsidR="006C6C8A">
        <w:rPr>
          <w:rFonts w:ascii="Arial" w:hAnsi="Arial" w:cs="Arial"/>
          <w:b/>
          <w:bCs/>
          <w:iCs/>
          <w:sz w:val="28"/>
          <w:szCs w:val="28"/>
        </w:rPr>
        <w:t xml:space="preserve">MILLION AT </w:t>
      </w:r>
      <w:r w:rsidRPr="00807311">
        <w:rPr>
          <w:rFonts w:ascii="Arial" w:hAnsi="Arial" w:cs="Arial"/>
          <w:b/>
          <w:bCs/>
          <w:iCs/>
          <w:sz w:val="28"/>
          <w:szCs w:val="28"/>
        </w:rPr>
        <w:t xml:space="preserve">THE ROVINA VALLEY GOLD-COPPER PROJECT </w:t>
      </w:r>
      <w:r w:rsidR="007E6299" w:rsidRPr="00807311">
        <w:rPr>
          <w:rFonts w:ascii="Arial" w:hAnsi="Arial" w:cs="Arial"/>
          <w:b/>
          <w:bCs/>
          <w:iCs/>
          <w:sz w:val="28"/>
          <w:szCs w:val="28"/>
        </w:rPr>
        <w:t>IN ROMANIA</w:t>
      </w:r>
    </w:p>
    <w:p w14:paraId="6A2E3310" w14:textId="77777777" w:rsidR="006E73B9" w:rsidRDefault="006E73B9" w:rsidP="00EA3973">
      <w:pPr>
        <w:jc w:val="both"/>
        <w:rPr>
          <w:rFonts w:ascii="Arial" w:hAnsi="Arial" w:cs="Arial"/>
          <w:b/>
          <w:bCs/>
          <w:iCs/>
        </w:rPr>
      </w:pPr>
    </w:p>
    <w:p w14:paraId="266DA005" w14:textId="26DD68AC" w:rsidR="00724E5D" w:rsidRDefault="00F52308" w:rsidP="00724E5D">
      <w:pPr>
        <w:jc w:val="both"/>
        <w:rPr>
          <w:rFonts w:ascii="Arial" w:hAnsi="Arial" w:cs="Arial"/>
          <w:iCs/>
        </w:rPr>
      </w:pPr>
      <w:r w:rsidRPr="00B50862">
        <w:rPr>
          <w:rFonts w:ascii="Arial" w:hAnsi="Arial" w:cs="Arial"/>
          <w:b/>
          <w:bCs/>
          <w:iCs/>
        </w:rPr>
        <w:t xml:space="preserve">TORONTO, </w:t>
      </w:r>
      <w:r>
        <w:rPr>
          <w:rFonts w:ascii="Arial" w:hAnsi="Arial" w:cs="Arial"/>
          <w:b/>
          <w:bCs/>
          <w:iCs/>
        </w:rPr>
        <w:t xml:space="preserve">February </w:t>
      </w:r>
      <w:r w:rsidR="00426ED8">
        <w:rPr>
          <w:rFonts w:ascii="Arial" w:hAnsi="Arial" w:cs="Arial"/>
          <w:b/>
          <w:bCs/>
          <w:iCs/>
        </w:rPr>
        <w:t>9th</w:t>
      </w:r>
      <w:r w:rsidRPr="00426ED8">
        <w:rPr>
          <w:rFonts w:ascii="Arial" w:hAnsi="Arial" w:cs="Arial"/>
          <w:b/>
          <w:bCs/>
          <w:iCs/>
        </w:rPr>
        <w:t>,</w:t>
      </w:r>
      <w:r w:rsidRPr="00B50862">
        <w:rPr>
          <w:rFonts w:ascii="Arial" w:hAnsi="Arial" w:cs="Arial"/>
          <w:b/>
          <w:bCs/>
          <w:iCs/>
        </w:rPr>
        <w:t xml:space="preserve"> 202</w:t>
      </w:r>
      <w:r>
        <w:rPr>
          <w:rFonts w:ascii="Arial" w:hAnsi="Arial" w:cs="Arial"/>
          <w:b/>
          <w:bCs/>
          <w:iCs/>
        </w:rPr>
        <w:t>2</w:t>
      </w:r>
      <w:r w:rsidRPr="00B50862">
        <w:rPr>
          <w:rFonts w:ascii="Arial" w:hAnsi="Arial" w:cs="Arial"/>
          <w:b/>
          <w:bCs/>
          <w:iCs/>
        </w:rPr>
        <w:t xml:space="preserve"> --</w:t>
      </w:r>
      <w:r w:rsidRPr="00B50862">
        <w:rPr>
          <w:rFonts w:ascii="Arial" w:hAnsi="Arial" w:cs="Arial"/>
          <w:iCs/>
        </w:rPr>
        <w:t xml:space="preserve"> </w:t>
      </w:r>
      <w:r w:rsidRPr="00B50862">
        <w:rPr>
          <w:rFonts w:ascii="Arial" w:hAnsi="Arial" w:cs="Arial"/>
          <w:b/>
          <w:bCs/>
          <w:iCs/>
        </w:rPr>
        <w:t>Euro Sun Mining Inc. (TSX: ESM)</w:t>
      </w:r>
      <w:r w:rsidRPr="00B50862">
        <w:rPr>
          <w:rFonts w:ascii="Arial" w:hAnsi="Arial" w:cs="Arial"/>
          <w:iCs/>
        </w:rPr>
        <w:t xml:space="preserve"> (“Euro Sun” or the “Company”) </w:t>
      </w:r>
      <w:r w:rsidRPr="00B50862">
        <w:rPr>
          <w:rFonts w:ascii="Arial" w:eastAsia="Arial" w:hAnsi="Arial" w:cs="Arial"/>
          <w:color w:val="000000"/>
          <w:lang w:val="en-US"/>
        </w:rPr>
        <w:t xml:space="preserve">is pleased to provide the results of </w:t>
      </w:r>
      <w:r w:rsidR="00D00DC8">
        <w:rPr>
          <w:rFonts w:ascii="Arial" w:eastAsia="Arial" w:hAnsi="Arial" w:cs="Arial"/>
          <w:color w:val="000000"/>
          <w:lang w:val="en-US"/>
        </w:rPr>
        <w:t>its</w:t>
      </w:r>
      <w:r w:rsidRPr="00B50862">
        <w:rPr>
          <w:rFonts w:ascii="Arial" w:eastAsia="Arial" w:hAnsi="Arial" w:cs="Arial"/>
          <w:color w:val="000000"/>
          <w:lang w:val="en-US"/>
        </w:rPr>
        <w:t xml:space="preserve"> optimized and updated Definitive Feasibility Study (“DFS”) on the </w:t>
      </w:r>
      <w:r w:rsidRPr="00B50862">
        <w:rPr>
          <w:rFonts w:ascii="Arial" w:hAnsi="Arial" w:cs="Arial"/>
          <w:iCs/>
        </w:rPr>
        <w:t>Colnic and Rovina open pits - the initial phase of development of its Rovina Valley Gold and Copper Project (the “Rovina Valley Project”) in Romania</w:t>
      </w:r>
      <w:r>
        <w:rPr>
          <w:rFonts w:ascii="Arial" w:hAnsi="Arial" w:cs="Arial"/>
          <w:iCs/>
        </w:rPr>
        <w:t>, one of Europe’s largest gold-copper development projects</w:t>
      </w:r>
      <w:r w:rsidRPr="00B50862">
        <w:rPr>
          <w:rFonts w:ascii="Arial" w:hAnsi="Arial" w:cs="Arial"/>
          <w:iCs/>
        </w:rPr>
        <w:t>.</w:t>
      </w:r>
      <w:r>
        <w:rPr>
          <w:rFonts w:ascii="Arial" w:eastAsia="Arial" w:hAnsi="Arial" w:cs="Arial"/>
          <w:color w:val="000000"/>
          <w:lang w:val="en-US"/>
        </w:rPr>
        <w:t xml:space="preserve"> Euro Sun is dedicated to the responsible development of </w:t>
      </w:r>
      <w:r w:rsidR="00C20FC3">
        <w:rPr>
          <w:rFonts w:ascii="Arial" w:eastAsia="Arial" w:hAnsi="Arial" w:cs="Arial"/>
          <w:color w:val="000000"/>
          <w:lang w:val="en-US"/>
        </w:rPr>
        <w:t xml:space="preserve">the </w:t>
      </w:r>
      <w:r>
        <w:rPr>
          <w:rFonts w:ascii="Arial" w:eastAsia="Arial" w:hAnsi="Arial" w:cs="Arial"/>
          <w:color w:val="000000"/>
          <w:lang w:val="en-US"/>
        </w:rPr>
        <w:t xml:space="preserve">Rovina Valley Project, </w:t>
      </w:r>
      <w:r w:rsidR="00091A24">
        <w:rPr>
          <w:rFonts w:ascii="Arial" w:eastAsia="Arial" w:hAnsi="Arial" w:cs="Arial"/>
          <w:color w:val="000000"/>
          <w:lang w:val="en-US"/>
        </w:rPr>
        <w:t xml:space="preserve">which may become </w:t>
      </w:r>
      <w:r>
        <w:rPr>
          <w:rFonts w:ascii="Arial" w:eastAsia="Arial" w:hAnsi="Arial" w:cs="Arial"/>
          <w:color w:val="000000"/>
          <w:lang w:val="en-US"/>
        </w:rPr>
        <w:t xml:space="preserve">an important source of strategic metals within the European Union. </w:t>
      </w:r>
      <w:r w:rsidR="00724E5D" w:rsidRPr="00CF1C5C">
        <w:rPr>
          <w:rFonts w:ascii="Arial" w:hAnsi="Arial" w:cs="Arial"/>
          <w:iCs/>
        </w:rPr>
        <w:t>All amounts are in US dollars unless otherwise indicated.</w:t>
      </w:r>
    </w:p>
    <w:p w14:paraId="55AAEB96" w14:textId="5C404784" w:rsidR="00EA14D2" w:rsidRDefault="00F52308" w:rsidP="00F52308">
      <w:pPr>
        <w:jc w:val="both"/>
        <w:rPr>
          <w:rFonts w:ascii="Arial" w:hAnsi="Arial" w:cs="Arial"/>
          <w:iCs/>
        </w:rPr>
      </w:pPr>
      <w:r>
        <w:rPr>
          <w:rFonts w:ascii="Arial" w:eastAsia="Arial" w:hAnsi="Arial" w:cs="Arial"/>
          <w:color w:val="000000"/>
          <w:lang w:val="en-US"/>
        </w:rPr>
        <w:t xml:space="preserve"> </w:t>
      </w:r>
    </w:p>
    <w:p w14:paraId="4A3F0698" w14:textId="3719D23F" w:rsidR="00EA14D2" w:rsidRPr="00AE05DE" w:rsidRDefault="00EA14D2" w:rsidP="00EA14D2">
      <w:pPr>
        <w:spacing w:before="187" w:line="230" w:lineRule="exact"/>
        <w:textAlignment w:val="baseline"/>
        <w:rPr>
          <w:rFonts w:ascii="Arial" w:eastAsia="Arial" w:hAnsi="Arial" w:cs="Arial"/>
          <w:b/>
          <w:bCs/>
          <w:color w:val="000000"/>
          <w:sz w:val="24"/>
          <w:szCs w:val="24"/>
          <w:lang w:val="en-US"/>
        </w:rPr>
      </w:pPr>
      <w:r w:rsidRPr="00AE05DE">
        <w:rPr>
          <w:rFonts w:ascii="Arial" w:eastAsia="Arial" w:hAnsi="Arial" w:cs="Arial"/>
          <w:b/>
          <w:bCs/>
          <w:color w:val="000000"/>
          <w:sz w:val="24"/>
          <w:szCs w:val="24"/>
          <w:lang w:val="en-US"/>
        </w:rPr>
        <w:t xml:space="preserve">Key Highlights Include (summary table set out in </w:t>
      </w:r>
      <w:r w:rsidR="007A30AE">
        <w:rPr>
          <w:rFonts w:ascii="Arial" w:eastAsia="Arial" w:hAnsi="Arial" w:cs="Arial"/>
          <w:b/>
          <w:bCs/>
          <w:color w:val="000000"/>
          <w:sz w:val="24"/>
          <w:szCs w:val="24"/>
          <w:lang w:val="en-US"/>
        </w:rPr>
        <w:t>Table</w:t>
      </w:r>
      <w:r w:rsidRPr="00AE05DE">
        <w:rPr>
          <w:rFonts w:ascii="Arial" w:eastAsia="Arial" w:hAnsi="Arial" w:cs="Arial"/>
          <w:b/>
          <w:bCs/>
          <w:color w:val="000000"/>
          <w:sz w:val="24"/>
          <w:szCs w:val="24"/>
          <w:lang w:val="en-US"/>
        </w:rPr>
        <w:t xml:space="preserve"> </w:t>
      </w:r>
      <w:r w:rsidR="003572CB">
        <w:rPr>
          <w:rFonts w:ascii="Arial" w:eastAsia="Arial" w:hAnsi="Arial" w:cs="Arial"/>
          <w:b/>
          <w:bCs/>
          <w:color w:val="000000"/>
          <w:sz w:val="24"/>
          <w:szCs w:val="24"/>
          <w:lang w:val="en-US"/>
        </w:rPr>
        <w:t>1</w:t>
      </w:r>
      <w:r w:rsidRPr="00AE05DE">
        <w:rPr>
          <w:rFonts w:ascii="Arial" w:eastAsia="Arial" w:hAnsi="Arial" w:cs="Arial"/>
          <w:b/>
          <w:bCs/>
          <w:color w:val="000000"/>
          <w:sz w:val="24"/>
          <w:szCs w:val="24"/>
          <w:lang w:val="en-US"/>
        </w:rPr>
        <w:t>):</w:t>
      </w:r>
      <w:r>
        <w:rPr>
          <w:rFonts w:ascii="Arial" w:eastAsia="Arial" w:hAnsi="Arial" w:cs="Arial"/>
          <w:b/>
          <w:bCs/>
          <w:color w:val="000000"/>
          <w:sz w:val="24"/>
          <w:szCs w:val="24"/>
          <w:lang w:val="en-US"/>
        </w:rPr>
        <w:br/>
      </w:r>
    </w:p>
    <w:p w14:paraId="13C120CF" w14:textId="0967E57A" w:rsidR="00EA14D2" w:rsidRPr="004512DA" w:rsidRDefault="004512DA" w:rsidP="009F7EEC">
      <w:pPr>
        <w:pStyle w:val="ListParagraph"/>
        <w:numPr>
          <w:ilvl w:val="0"/>
          <w:numId w:val="22"/>
        </w:numPr>
        <w:tabs>
          <w:tab w:val="left" w:pos="0"/>
        </w:tabs>
        <w:jc w:val="both"/>
        <w:rPr>
          <w:rFonts w:ascii="Arial" w:hAnsi="Arial" w:cs="Arial"/>
          <w:b/>
          <w:bCs/>
          <w:iCs/>
          <w:sz w:val="24"/>
          <w:szCs w:val="24"/>
        </w:rPr>
      </w:pPr>
      <w:r>
        <w:rPr>
          <w:rFonts w:ascii="Arial" w:hAnsi="Arial" w:cs="Arial"/>
          <w:b/>
          <w:bCs/>
          <w:iCs/>
          <w:sz w:val="24"/>
          <w:szCs w:val="24"/>
        </w:rPr>
        <w:t xml:space="preserve">Pre-Tax </w:t>
      </w:r>
      <w:r w:rsidR="00EA14D2" w:rsidRPr="004512DA">
        <w:rPr>
          <w:rFonts w:ascii="Arial" w:hAnsi="Arial" w:cs="Arial"/>
          <w:b/>
          <w:bCs/>
          <w:iCs/>
          <w:sz w:val="24"/>
          <w:szCs w:val="24"/>
        </w:rPr>
        <w:t>NPV increased</w:t>
      </w:r>
      <w:r w:rsidR="0095516D">
        <w:rPr>
          <w:rFonts w:ascii="Arial" w:hAnsi="Arial" w:cs="Arial"/>
          <w:b/>
          <w:bCs/>
          <w:iCs/>
          <w:sz w:val="24"/>
          <w:szCs w:val="24"/>
        </w:rPr>
        <w:t xml:space="preserve"> </w:t>
      </w:r>
      <w:r w:rsidR="00F9613D">
        <w:rPr>
          <w:rFonts w:ascii="Arial" w:hAnsi="Arial" w:cs="Arial"/>
          <w:b/>
          <w:bCs/>
          <w:iCs/>
          <w:sz w:val="24"/>
          <w:szCs w:val="24"/>
        </w:rPr>
        <w:t>4</w:t>
      </w:r>
      <w:r w:rsidR="00E958F3">
        <w:rPr>
          <w:rFonts w:ascii="Arial" w:hAnsi="Arial" w:cs="Arial"/>
          <w:b/>
          <w:bCs/>
          <w:iCs/>
          <w:sz w:val="24"/>
          <w:szCs w:val="24"/>
        </w:rPr>
        <w:t>1</w:t>
      </w:r>
      <w:r w:rsidR="00EA14D2" w:rsidRPr="004512DA">
        <w:rPr>
          <w:rFonts w:ascii="Arial" w:hAnsi="Arial" w:cs="Arial"/>
          <w:b/>
          <w:bCs/>
          <w:iCs/>
          <w:sz w:val="24"/>
          <w:szCs w:val="24"/>
        </w:rPr>
        <w:t>% to $</w:t>
      </w:r>
      <w:r w:rsidR="00F9613D">
        <w:rPr>
          <w:rFonts w:ascii="Arial" w:hAnsi="Arial" w:cs="Arial"/>
          <w:b/>
          <w:bCs/>
          <w:iCs/>
          <w:sz w:val="24"/>
          <w:szCs w:val="24"/>
        </w:rPr>
        <w:t>63</w:t>
      </w:r>
      <w:r w:rsidR="00E958F3">
        <w:rPr>
          <w:rFonts w:ascii="Arial" w:hAnsi="Arial" w:cs="Arial"/>
          <w:b/>
          <w:bCs/>
          <w:iCs/>
          <w:sz w:val="24"/>
          <w:szCs w:val="24"/>
        </w:rPr>
        <w:t>0</w:t>
      </w:r>
      <w:r w:rsidR="00EA14D2" w:rsidRPr="004512DA">
        <w:rPr>
          <w:rFonts w:ascii="Arial" w:hAnsi="Arial" w:cs="Arial"/>
          <w:b/>
          <w:bCs/>
          <w:iCs/>
          <w:sz w:val="24"/>
          <w:szCs w:val="24"/>
        </w:rPr>
        <w:t xml:space="preserve"> million</w:t>
      </w:r>
      <w:r w:rsidRPr="004512DA">
        <w:rPr>
          <w:rFonts w:ascii="Arial" w:hAnsi="Arial" w:cs="Arial"/>
          <w:b/>
          <w:bCs/>
          <w:iCs/>
          <w:sz w:val="24"/>
          <w:szCs w:val="24"/>
        </w:rPr>
        <w:t xml:space="preserve">, </w:t>
      </w:r>
      <w:r w:rsidR="00F9613D">
        <w:rPr>
          <w:rFonts w:ascii="Arial" w:hAnsi="Arial" w:cs="Arial"/>
          <w:b/>
          <w:bCs/>
          <w:iCs/>
          <w:sz w:val="24"/>
          <w:szCs w:val="24"/>
        </w:rPr>
        <w:t xml:space="preserve">with </w:t>
      </w:r>
      <w:r w:rsidR="00287398">
        <w:rPr>
          <w:rFonts w:ascii="Arial" w:hAnsi="Arial" w:cs="Arial"/>
          <w:b/>
          <w:bCs/>
          <w:iCs/>
          <w:sz w:val="24"/>
          <w:szCs w:val="24"/>
        </w:rPr>
        <w:t xml:space="preserve">an </w:t>
      </w:r>
      <w:r w:rsidR="00EA14D2" w:rsidRPr="004512DA">
        <w:rPr>
          <w:rFonts w:ascii="Arial" w:hAnsi="Arial" w:cs="Arial"/>
          <w:b/>
          <w:bCs/>
          <w:iCs/>
          <w:sz w:val="24"/>
          <w:szCs w:val="24"/>
        </w:rPr>
        <w:t xml:space="preserve">IRR </w:t>
      </w:r>
      <w:r w:rsidR="00287398">
        <w:rPr>
          <w:rFonts w:ascii="Arial" w:hAnsi="Arial" w:cs="Arial"/>
          <w:b/>
          <w:bCs/>
          <w:iCs/>
          <w:sz w:val="24"/>
          <w:szCs w:val="24"/>
        </w:rPr>
        <w:t xml:space="preserve">of </w:t>
      </w:r>
      <w:r w:rsidR="00287398" w:rsidRPr="004D046E">
        <w:rPr>
          <w:rFonts w:ascii="Arial" w:hAnsi="Arial" w:cs="Arial"/>
          <w:b/>
          <w:bCs/>
          <w:iCs/>
          <w:sz w:val="24"/>
          <w:szCs w:val="24"/>
        </w:rPr>
        <w:t>22.</w:t>
      </w:r>
      <w:r w:rsidR="004D046E" w:rsidRPr="002200A4">
        <w:rPr>
          <w:rFonts w:ascii="Arial" w:hAnsi="Arial" w:cs="Arial"/>
          <w:b/>
          <w:bCs/>
          <w:iCs/>
          <w:sz w:val="24"/>
          <w:szCs w:val="24"/>
        </w:rPr>
        <w:t>7</w:t>
      </w:r>
      <w:r w:rsidR="00EA14D2" w:rsidRPr="004512DA">
        <w:rPr>
          <w:rFonts w:ascii="Arial" w:hAnsi="Arial" w:cs="Arial"/>
          <w:b/>
          <w:bCs/>
          <w:iCs/>
          <w:sz w:val="24"/>
          <w:szCs w:val="24"/>
        </w:rPr>
        <w:t>%</w:t>
      </w:r>
      <w:r w:rsidR="0095516D">
        <w:rPr>
          <w:rFonts w:ascii="Arial" w:hAnsi="Arial" w:cs="Arial"/>
          <w:b/>
          <w:bCs/>
          <w:iCs/>
          <w:sz w:val="24"/>
          <w:szCs w:val="24"/>
        </w:rPr>
        <w:t>,</w:t>
      </w:r>
      <w:r>
        <w:rPr>
          <w:rFonts w:ascii="Arial" w:hAnsi="Arial" w:cs="Arial"/>
          <w:b/>
          <w:bCs/>
          <w:iCs/>
          <w:sz w:val="24"/>
          <w:szCs w:val="24"/>
        </w:rPr>
        <w:t xml:space="preserve"> based on $1,</w:t>
      </w:r>
      <w:r w:rsidR="00287398">
        <w:rPr>
          <w:rFonts w:ascii="Arial" w:hAnsi="Arial" w:cs="Arial"/>
          <w:b/>
          <w:bCs/>
          <w:iCs/>
          <w:sz w:val="24"/>
          <w:szCs w:val="24"/>
        </w:rPr>
        <w:t>675</w:t>
      </w:r>
      <w:r>
        <w:rPr>
          <w:rFonts w:ascii="Arial" w:hAnsi="Arial" w:cs="Arial"/>
          <w:b/>
          <w:bCs/>
          <w:iCs/>
          <w:sz w:val="24"/>
          <w:szCs w:val="24"/>
        </w:rPr>
        <w:t>/oz gold and $3.</w:t>
      </w:r>
      <w:r w:rsidR="00287398">
        <w:rPr>
          <w:rFonts w:ascii="Arial" w:hAnsi="Arial" w:cs="Arial"/>
          <w:b/>
          <w:bCs/>
          <w:iCs/>
          <w:sz w:val="24"/>
          <w:szCs w:val="24"/>
        </w:rPr>
        <w:t>75</w:t>
      </w:r>
      <w:r>
        <w:rPr>
          <w:rFonts w:ascii="Arial" w:hAnsi="Arial" w:cs="Arial"/>
          <w:b/>
          <w:bCs/>
          <w:iCs/>
          <w:sz w:val="24"/>
          <w:szCs w:val="24"/>
        </w:rPr>
        <w:t>/lb copper</w:t>
      </w:r>
    </w:p>
    <w:p w14:paraId="73145334" w14:textId="0952A417" w:rsidR="00EA14D2" w:rsidRDefault="00821E5D" w:rsidP="009F7EEC">
      <w:pPr>
        <w:pStyle w:val="ListParagraph"/>
        <w:numPr>
          <w:ilvl w:val="0"/>
          <w:numId w:val="22"/>
        </w:numPr>
        <w:tabs>
          <w:tab w:val="left" w:pos="0"/>
        </w:tabs>
        <w:jc w:val="both"/>
        <w:rPr>
          <w:rFonts w:ascii="Arial" w:hAnsi="Arial" w:cs="Arial"/>
          <w:b/>
          <w:bCs/>
          <w:iCs/>
          <w:sz w:val="24"/>
          <w:szCs w:val="24"/>
        </w:rPr>
      </w:pPr>
      <w:r>
        <w:rPr>
          <w:rFonts w:ascii="Arial" w:hAnsi="Arial" w:cs="Arial"/>
          <w:b/>
          <w:bCs/>
          <w:iCs/>
          <w:sz w:val="24"/>
          <w:szCs w:val="24"/>
        </w:rPr>
        <w:t>Estimated to produce</w:t>
      </w:r>
      <w:r w:rsidRPr="00FD444F">
        <w:rPr>
          <w:rFonts w:ascii="Arial" w:hAnsi="Arial" w:cs="Arial"/>
          <w:b/>
          <w:bCs/>
          <w:iCs/>
          <w:sz w:val="24"/>
          <w:szCs w:val="24"/>
        </w:rPr>
        <w:t xml:space="preserve"> </w:t>
      </w:r>
      <w:r w:rsidR="000A791B">
        <w:rPr>
          <w:rFonts w:ascii="Arial" w:hAnsi="Arial" w:cs="Arial"/>
          <w:b/>
          <w:bCs/>
          <w:iCs/>
          <w:sz w:val="24"/>
          <w:szCs w:val="24"/>
        </w:rPr>
        <w:t>1.</w:t>
      </w:r>
      <w:r w:rsidR="00A944EF">
        <w:rPr>
          <w:rFonts w:ascii="Arial" w:hAnsi="Arial" w:cs="Arial"/>
          <w:b/>
          <w:bCs/>
          <w:iCs/>
          <w:sz w:val="24"/>
          <w:szCs w:val="24"/>
        </w:rPr>
        <w:t>47</w:t>
      </w:r>
      <w:r w:rsidR="000A791B">
        <w:rPr>
          <w:rFonts w:ascii="Arial" w:hAnsi="Arial" w:cs="Arial"/>
          <w:b/>
          <w:bCs/>
          <w:iCs/>
          <w:sz w:val="24"/>
          <w:szCs w:val="24"/>
        </w:rPr>
        <w:t xml:space="preserve">Moz of gold and </w:t>
      </w:r>
      <w:r w:rsidR="000A791B" w:rsidRPr="00A944EF">
        <w:rPr>
          <w:rFonts w:ascii="Arial" w:hAnsi="Arial" w:cs="Arial"/>
          <w:b/>
          <w:bCs/>
          <w:iCs/>
          <w:sz w:val="24"/>
          <w:szCs w:val="24"/>
        </w:rPr>
        <w:t>40</w:t>
      </w:r>
      <w:r w:rsidR="00A944EF">
        <w:rPr>
          <w:rFonts w:ascii="Arial" w:hAnsi="Arial" w:cs="Arial"/>
          <w:b/>
          <w:bCs/>
          <w:iCs/>
          <w:sz w:val="24"/>
          <w:szCs w:val="24"/>
        </w:rPr>
        <w:t>3</w:t>
      </w:r>
      <w:r w:rsidR="000A791B">
        <w:rPr>
          <w:rFonts w:ascii="Arial" w:hAnsi="Arial" w:cs="Arial"/>
          <w:b/>
          <w:bCs/>
          <w:iCs/>
          <w:sz w:val="24"/>
          <w:szCs w:val="24"/>
        </w:rPr>
        <w:t>Mlbs of copper</w:t>
      </w:r>
      <w:r w:rsidR="00EA14D2" w:rsidRPr="00FD444F">
        <w:rPr>
          <w:rFonts w:ascii="Arial" w:hAnsi="Arial" w:cs="Arial"/>
          <w:b/>
          <w:bCs/>
          <w:iCs/>
          <w:sz w:val="24"/>
          <w:szCs w:val="24"/>
        </w:rPr>
        <w:t xml:space="preserve"> </w:t>
      </w:r>
      <w:r w:rsidR="00287398">
        <w:rPr>
          <w:rFonts w:ascii="Arial" w:hAnsi="Arial" w:cs="Arial"/>
          <w:b/>
          <w:bCs/>
          <w:iCs/>
          <w:sz w:val="24"/>
          <w:szCs w:val="24"/>
        </w:rPr>
        <w:t xml:space="preserve">over the life of </w:t>
      </w:r>
      <w:r w:rsidR="00EA201D">
        <w:rPr>
          <w:rFonts w:ascii="Arial" w:hAnsi="Arial" w:cs="Arial"/>
          <w:b/>
          <w:bCs/>
          <w:iCs/>
          <w:sz w:val="24"/>
          <w:szCs w:val="24"/>
        </w:rPr>
        <w:t>the project</w:t>
      </w:r>
      <w:r w:rsidR="000A791B">
        <w:rPr>
          <w:rFonts w:ascii="Arial" w:hAnsi="Arial" w:cs="Arial"/>
          <w:b/>
          <w:bCs/>
          <w:iCs/>
          <w:sz w:val="24"/>
          <w:szCs w:val="24"/>
        </w:rPr>
        <w:t xml:space="preserve"> at a</w:t>
      </w:r>
      <w:r w:rsidR="00091A24">
        <w:rPr>
          <w:rFonts w:ascii="Arial" w:hAnsi="Arial" w:cs="Arial"/>
          <w:b/>
          <w:bCs/>
          <w:iCs/>
          <w:sz w:val="24"/>
          <w:szCs w:val="24"/>
        </w:rPr>
        <w:t>n</w:t>
      </w:r>
      <w:r w:rsidR="000A791B">
        <w:rPr>
          <w:rFonts w:ascii="Arial" w:hAnsi="Arial" w:cs="Arial"/>
          <w:b/>
          <w:bCs/>
          <w:iCs/>
          <w:sz w:val="24"/>
          <w:szCs w:val="24"/>
        </w:rPr>
        <w:t xml:space="preserve"> </w:t>
      </w:r>
      <w:r w:rsidR="00047DB2">
        <w:rPr>
          <w:rFonts w:ascii="Arial" w:hAnsi="Arial" w:cs="Arial"/>
          <w:b/>
          <w:bCs/>
          <w:iCs/>
          <w:sz w:val="24"/>
          <w:szCs w:val="24"/>
        </w:rPr>
        <w:t xml:space="preserve">AISC of </w:t>
      </w:r>
      <w:r w:rsidR="00CD3306">
        <w:rPr>
          <w:rFonts w:ascii="Arial" w:hAnsi="Arial" w:cs="Arial"/>
          <w:b/>
          <w:bCs/>
          <w:iCs/>
          <w:sz w:val="24"/>
          <w:szCs w:val="24"/>
        </w:rPr>
        <w:t>$</w:t>
      </w:r>
      <w:r w:rsidR="00047DB2" w:rsidRPr="00A944EF">
        <w:rPr>
          <w:rFonts w:ascii="Arial" w:hAnsi="Arial" w:cs="Arial"/>
          <w:b/>
          <w:bCs/>
          <w:iCs/>
          <w:sz w:val="24"/>
          <w:szCs w:val="24"/>
        </w:rPr>
        <w:t>78</w:t>
      </w:r>
      <w:r w:rsidR="00A944EF">
        <w:rPr>
          <w:rFonts w:ascii="Arial" w:hAnsi="Arial" w:cs="Arial"/>
          <w:b/>
          <w:bCs/>
          <w:iCs/>
          <w:sz w:val="24"/>
          <w:szCs w:val="24"/>
        </w:rPr>
        <w:t>7</w:t>
      </w:r>
      <w:r w:rsidR="00047DB2">
        <w:rPr>
          <w:rFonts w:ascii="Arial" w:hAnsi="Arial" w:cs="Arial"/>
          <w:b/>
          <w:bCs/>
          <w:iCs/>
          <w:sz w:val="24"/>
          <w:szCs w:val="24"/>
        </w:rPr>
        <w:t>/gold equivalent ounce</w:t>
      </w:r>
    </w:p>
    <w:p w14:paraId="6DC8DFF5" w14:textId="27A1CDF6" w:rsidR="00EA14D2" w:rsidRDefault="009F7EEC" w:rsidP="009F7EEC">
      <w:pPr>
        <w:pStyle w:val="ListParagraph"/>
        <w:numPr>
          <w:ilvl w:val="0"/>
          <w:numId w:val="22"/>
        </w:numPr>
        <w:tabs>
          <w:tab w:val="left" w:pos="0"/>
        </w:tabs>
        <w:jc w:val="both"/>
        <w:rPr>
          <w:rFonts w:ascii="Arial" w:hAnsi="Arial" w:cs="Arial"/>
          <w:b/>
          <w:bCs/>
          <w:iCs/>
          <w:sz w:val="24"/>
          <w:szCs w:val="24"/>
        </w:rPr>
      </w:pPr>
      <w:r>
        <w:rPr>
          <w:rFonts w:ascii="Arial" w:hAnsi="Arial" w:cs="Arial"/>
          <w:b/>
          <w:bCs/>
          <w:iCs/>
          <w:sz w:val="24"/>
          <w:szCs w:val="24"/>
        </w:rPr>
        <w:t>A</w:t>
      </w:r>
      <w:r w:rsidR="0075578F">
        <w:rPr>
          <w:rFonts w:ascii="Arial" w:hAnsi="Arial" w:cs="Arial"/>
          <w:b/>
          <w:bCs/>
          <w:iCs/>
          <w:sz w:val="24"/>
          <w:szCs w:val="24"/>
        </w:rPr>
        <w:t xml:space="preserve">pproximately </w:t>
      </w:r>
      <w:r>
        <w:rPr>
          <w:rFonts w:ascii="Arial" w:hAnsi="Arial" w:cs="Arial"/>
          <w:b/>
          <w:bCs/>
          <w:iCs/>
          <w:sz w:val="24"/>
          <w:szCs w:val="24"/>
        </w:rPr>
        <w:t>4</w:t>
      </w:r>
      <w:r w:rsidR="00436915">
        <w:rPr>
          <w:rFonts w:ascii="Arial" w:hAnsi="Arial" w:cs="Arial"/>
          <w:b/>
          <w:bCs/>
          <w:iCs/>
          <w:sz w:val="24"/>
          <w:szCs w:val="24"/>
        </w:rPr>
        <w:t>3</w:t>
      </w:r>
      <w:r>
        <w:rPr>
          <w:rFonts w:ascii="Arial" w:hAnsi="Arial" w:cs="Arial"/>
          <w:b/>
          <w:bCs/>
          <w:iCs/>
          <w:sz w:val="24"/>
          <w:szCs w:val="24"/>
        </w:rPr>
        <w:t xml:space="preserve"> million tonnes or </w:t>
      </w:r>
      <w:r w:rsidR="009F366C">
        <w:rPr>
          <w:rFonts w:ascii="Arial" w:hAnsi="Arial" w:cs="Arial"/>
          <w:b/>
          <w:bCs/>
          <w:iCs/>
          <w:sz w:val="24"/>
          <w:szCs w:val="24"/>
        </w:rPr>
        <w:t>19</w:t>
      </w:r>
      <w:r w:rsidR="00B45BBA">
        <w:rPr>
          <w:rFonts w:ascii="Arial" w:hAnsi="Arial" w:cs="Arial"/>
          <w:b/>
          <w:bCs/>
          <w:iCs/>
          <w:sz w:val="24"/>
          <w:szCs w:val="24"/>
        </w:rPr>
        <w:t xml:space="preserve">% </w:t>
      </w:r>
      <w:r w:rsidR="00EA14D2" w:rsidRPr="00FD444F">
        <w:rPr>
          <w:rFonts w:ascii="Arial" w:hAnsi="Arial" w:cs="Arial"/>
          <w:b/>
          <w:bCs/>
          <w:iCs/>
          <w:sz w:val="24"/>
          <w:szCs w:val="24"/>
        </w:rPr>
        <w:t xml:space="preserve">less waste </w:t>
      </w:r>
      <w:r w:rsidR="00B45BBA">
        <w:rPr>
          <w:rFonts w:ascii="Arial" w:hAnsi="Arial" w:cs="Arial"/>
          <w:b/>
          <w:bCs/>
          <w:iCs/>
          <w:sz w:val="24"/>
          <w:szCs w:val="24"/>
        </w:rPr>
        <w:t>material</w:t>
      </w:r>
      <w:r w:rsidR="00611A3F" w:rsidRPr="00611A3F">
        <w:rPr>
          <w:rFonts w:ascii="Arial" w:hAnsi="Arial" w:cs="Arial"/>
          <w:b/>
          <w:bCs/>
          <w:iCs/>
          <w:sz w:val="24"/>
          <w:szCs w:val="24"/>
        </w:rPr>
        <w:t xml:space="preserve"> </w:t>
      </w:r>
      <w:r w:rsidR="00247330">
        <w:rPr>
          <w:rFonts w:ascii="Arial" w:hAnsi="Arial" w:cs="Arial"/>
          <w:b/>
          <w:bCs/>
          <w:iCs/>
          <w:sz w:val="24"/>
          <w:szCs w:val="24"/>
        </w:rPr>
        <w:t>expected</w:t>
      </w:r>
      <w:r w:rsidR="00821E5D">
        <w:rPr>
          <w:rFonts w:ascii="Arial" w:hAnsi="Arial" w:cs="Arial"/>
          <w:b/>
          <w:bCs/>
          <w:iCs/>
          <w:sz w:val="24"/>
          <w:szCs w:val="24"/>
        </w:rPr>
        <w:t xml:space="preserve"> to </w:t>
      </w:r>
      <w:r>
        <w:rPr>
          <w:rFonts w:ascii="Arial" w:hAnsi="Arial" w:cs="Arial"/>
          <w:b/>
          <w:bCs/>
          <w:iCs/>
          <w:sz w:val="24"/>
          <w:szCs w:val="24"/>
        </w:rPr>
        <w:t xml:space="preserve">be mined </w:t>
      </w:r>
      <w:r w:rsidR="00EA14D2" w:rsidRPr="00FD444F">
        <w:rPr>
          <w:rFonts w:ascii="Arial" w:hAnsi="Arial" w:cs="Arial"/>
          <w:b/>
          <w:bCs/>
          <w:iCs/>
          <w:sz w:val="24"/>
          <w:szCs w:val="24"/>
        </w:rPr>
        <w:t xml:space="preserve">resulting in a </w:t>
      </w:r>
      <w:r w:rsidR="009F366C">
        <w:rPr>
          <w:rFonts w:ascii="Arial" w:hAnsi="Arial" w:cs="Arial"/>
          <w:b/>
          <w:bCs/>
          <w:iCs/>
          <w:sz w:val="24"/>
          <w:szCs w:val="24"/>
        </w:rPr>
        <w:t>1.45</w:t>
      </w:r>
      <w:r w:rsidR="00EA14D2" w:rsidRPr="00FD444F">
        <w:rPr>
          <w:rFonts w:ascii="Arial" w:hAnsi="Arial" w:cs="Arial"/>
          <w:b/>
          <w:bCs/>
          <w:iCs/>
          <w:sz w:val="24"/>
          <w:szCs w:val="24"/>
        </w:rPr>
        <w:t>:</w:t>
      </w:r>
      <w:r w:rsidR="00B45BBA">
        <w:rPr>
          <w:rFonts w:ascii="Arial" w:hAnsi="Arial" w:cs="Arial"/>
          <w:b/>
          <w:bCs/>
          <w:iCs/>
          <w:sz w:val="24"/>
          <w:szCs w:val="24"/>
        </w:rPr>
        <w:t>1</w:t>
      </w:r>
      <w:r w:rsidR="00EA14D2" w:rsidRPr="00FD444F">
        <w:rPr>
          <w:rFonts w:ascii="Arial" w:hAnsi="Arial" w:cs="Arial"/>
          <w:b/>
          <w:bCs/>
          <w:iCs/>
          <w:sz w:val="24"/>
          <w:szCs w:val="24"/>
        </w:rPr>
        <w:t xml:space="preserve"> strip ratio</w:t>
      </w:r>
      <w:r w:rsidR="00733F32">
        <w:rPr>
          <w:rFonts w:ascii="Arial" w:hAnsi="Arial" w:cs="Arial"/>
          <w:b/>
          <w:bCs/>
          <w:iCs/>
          <w:sz w:val="24"/>
          <w:szCs w:val="24"/>
        </w:rPr>
        <w:t xml:space="preserve"> </w:t>
      </w:r>
      <w:r>
        <w:rPr>
          <w:rFonts w:ascii="Arial" w:hAnsi="Arial" w:cs="Arial"/>
          <w:b/>
          <w:bCs/>
          <w:iCs/>
          <w:sz w:val="24"/>
          <w:szCs w:val="24"/>
        </w:rPr>
        <w:t xml:space="preserve">over LOM </w:t>
      </w:r>
    </w:p>
    <w:p w14:paraId="01FFB6AC" w14:textId="33154CB7" w:rsidR="00611A3F" w:rsidRDefault="00EA14D2" w:rsidP="009F7EEC">
      <w:pPr>
        <w:pStyle w:val="ListParagraph"/>
        <w:numPr>
          <w:ilvl w:val="0"/>
          <w:numId w:val="22"/>
        </w:numPr>
        <w:tabs>
          <w:tab w:val="left" w:pos="0"/>
        </w:tabs>
        <w:jc w:val="both"/>
        <w:rPr>
          <w:rFonts w:ascii="Arial" w:hAnsi="Arial" w:cs="Arial"/>
          <w:b/>
          <w:bCs/>
          <w:iCs/>
          <w:sz w:val="24"/>
          <w:szCs w:val="24"/>
        </w:rPr>
      </w:pPr>
      <w:r w:rsidRPr="00FD444F">
        <w:rPr>
          <w:rFonts w:ascii="Arial" w:hAnsi="Arial" w:cs="Arial"/>
          <w:b/>
          <w:bCs/>
          <w:iCs/>
          <w:sz w:val="24"/>
          <w:szCs w:val="24"/>
        </w:rPr>
        <w:t xml:space="preserve">The updated study incorporates the most current cost and capital expenditure </w:t>
      </w:r>
      <w:r w:rsidRPr="00702118">
        <w:rPr>
          <w:rFonts w:ascii="Arial" w:hAnsi="Arial" w:cs="Arial"/>
          <w:b/>
          <w:bCs/>
          <w:iCs/>
          <w:sz w:val="24"/>
          <w:szCs w:val="24"/>
        </w:rPr>
        <w:t>data</w:t>
      </w:r>
      <w:r w:rsidRPr="00FD444F">
        <w:rPr>
          <w:rFonts w:ascii="Arial" w:hAnsi="Arial" w:cs="Arial"/>
          <w:b/>
          <w:bCs/>
          <w:iCs/>
          <w:sz w:val="24"/>
          <w:szCs w:val="24"/>
        </w:rPr>
        <w:t xml:space="preserve">, </w:t>
      </w:r>
      <w:r w:rsidR="00733F32">
        <w:rPr>
          <w:rFonts w:ascii="Arial" w:hAnsi="Arial" w:cs="Arial"/>
          <w:b/>
          <w:bCs/>
          <w:iCs/>
          <w:sz w:val="24"/>
          <w:szCs w:val="24"/>
        </w:rPr>
        <w:t>with</w:t>
      </w:r>
      <w:r w:rsidRPr="00FD444F">
        <w:rPr>
          <w:rFonts w:ascii="Arial" w:hAnsi="Arial" w:cs="Arial"/>
          <w:b/>
          <w:bCs/>
          <w:iCs/>
          <w:sz w:val="24"/>
          <w:szCs w:val="24"/>
        </w:rPr>
        <w:t xml:space="preserve"> </w:t>
      </w:r>
      <w:r w:rsidR="00E2061C">
        <w:rPr>
          <w:rFonts w:ascii="Arial" w:hAnsi="Arial" w:cs="Arial"/>
          <w:b/>
          <w:bCs/>
          <w:iCs/>
          <w:sz w:val="24"/>
          <w:szCs w:val="24"/>
        </w:rPr>
        <w:t>initial CAPEX</w:t>
      </w:r>
      <w:r w:rsidR="006B5825">
        <w:rPr>
          <w:rFonts w:ascii="Arial" w:hAnsi="Arial" w:cs="Arial"/>
          <w:b/>
          <w:bCs/>
          <w:iCs/>
          <w:sz w:val="24"/>
          <w:szCs w:val="24"/>
        </w:rPr>
        <w:t xml:space="preserve"> </w:t>
      </w:r>
      <w:r w:rsidR="00841984">
        <w:rPr>
          <w:rFonts w:ascii="Arial" w:hAnsi="Arial" w:cs="Arial"/>
          <w:b/>
          <w:bCs/>
          <w:iCs/>
          <w:sz w:val="24"/>
          <w:szCs w:val="24"/>
        </w:rPr>
        <w:t>of</w:t>
      </w:r>
      <w:r w:rsidR="006B5825">
        <w:rPr>
          <w:rFonts w:ascii="Arial" w:hAnsi="Arial" w:cs="Arial"/>
          <w:b/>
          <w:bCs/>
          <w:iCs/>
          <w:sz w:val="24"/>
          <w:szCs w:val="24"/>
        </w:rPr>
        <w:t xml:space="preserve"> $44</w:t>
      </w:r>
      <w:r w:rsidR="002804E7">
        <w:rPr>
          <w:rFonts w:ascii="Arial" w:hAnsi="Arial" w:cs="Arial"/>
          <w:b/>
          <w:bCs/>
          <w:iCs/>
          <w:sz w:val="24"/>
          <w:szCs w:val="24"/>
        </w:rPr>
        <w:t xml:space="preserve">8 million </w:t>
      </w:r>
    </w:p>
    <w:p w14:paraId="583BBE5A" w14:textId="7A6EA6BE" w:rsidR="00611A3F" w:rsidRDefault="00611A3F" w:rsidP="009F7EEC">
      <w:pPr>
        <w:pStyle w:val="ListParagraph"/>
        <w:numPr>
          <w:ilvl w:val="0"/>
          <w:numId w:val="22"/>
        </w:numPr>
        <w:tabs>
          <w:tab w:val="left" w:pos="0"/>
        </w:tabs>
        <w:jc w:val="both"/>
        <w:rPr>
          <w:rFonts w:ascii="Arial" w:hAnsi="Arial" w:cs="Arial"/>
          <w:b/>
          <w:bCs/>
          <w:iCs/>
          <w:sz w:val="24"/>
          <w:szCs w:val="24"/>
        </w:rPr>
      </w:pPr>
      <w:r>
        <w:rPr>
          <w:rFonts w:ascii="Arial" w:hAnsi="Arial" w:cs="Arial"/>
          <w:b/>
          <w:bCs/>
          <w:iCs/>
          <w:sz w:val="24"/>
          <w:szCs w:val="24"/>
        </w:rPr>
        <w:t>The Rovina Valley Project incorporates dry stack tailings and is a cyanide free operation</w:t>
      </w:r>
    </w:p>
    <w:p w14:paraId="4E44B3C3" w14:textId="070266A7" w:rsidR="00EA14D2" w:rsidRPr="00FD444F" w:rsidRDefault="00EA14D2" w:rsidP="00611A3F">
      <w:pPr>
        <w:pStyle w:val="ListParagraph"/>
        <w:tabs>
          <w:tab w:val="left" w:pos="0"/>
        </w:tabs>
        <w:rPr>
          <w:rFonts w:ascii="Arial" w:hAnsi="Arial" w:cs="Arial"/>
          <w:b/>
          <w:bCs/>
          <w:iCs/>
          <w:sz w:val="24"/>
          <w:szCs w:val="24"/>
        </w:rPr>
      </w:pPr>
    </w:p>
    <w:p w14:paraId="007CAE80" w14:textId="77777777" w:rsidR="00EA14D2" w:rsidRDefault="00EA14D2" w:rsidP="00F52308">
      <w:pPr>
        <w:jc w:val="both"/>
        <w:rPr>
          <w:rFonts w:ascii="Arial" w:hAnsi="Arial" w:cs="Arial"/>
          <w:iCs/>
        </w:rPr>
      </w:pPr>
    </w:p>
    <w:p w14:paraId="39B8BA59" w14:textId="644699BF" w:rsidR="00B218CF" w:rsidRDefault="00B218CF" w:rsidP="00B218CF">
      <w:pPr>
        <w:jc w:val="both"/>
        <w:rPr>
          <w:rFonts w:ascii="Arial" w:eastAsia="Arial" w:hAnsi="Arial" w:cs="Arial"/>
          <w:color w:val="000000"/>
          <w:lang w:val="en-US"/>
        </w:rPr>
      </w:pPr>
      <w:r w:rsidRPr="00CD288C">
        <w:rPr>
          <w:rFonts w:ascii="Arial" w:eastAsia="Arial" w:hAnsi="Arial" w:cs="Arial"/>
          <w:color w:val="000000"/>
          <w:lang w:val="en-US"/>
        </w:rPr>
        <w:t>Scott Moore, Chief Executive Officer Euro</w:t>
      </w:r>
      <w:r w:rsidR="00823134">
        <w:rPr>
          <w:rFonts w:ascii="Arial" w:eastAsia="Arial" w:hAnsi="Arial" w:cs="Arial"/>
          <w:color w:val="000000"/>
          <w:lang w:val="en-US"/>
        </w:rPr>
        <w:t xml:space="preserve"> S</w:t>
      </w:r>
      <w:r w:rsidRPr="00CD288C">
        <w:rPr>
          <w:rFonts w:ascii="Arial" w:eastAsia="Arial" w:hAnsi="Arial" w:cs="Arial"/>
          <w:color w:val="000000"/>
          <w:lang w:val="en-US"/>
        </w:rPr>
        <w:t>un Mining Inc</w:t>
      </w:r>
      <w:r w:rsidR="00E47E79">
        <w:rPr>
          <w:rFonts w:ascii="Arial" w:eastAsia="Arial" w:hAnsi="Arial" w:cs="Arial"/>
          <w:color w:val="000000"/>
          <w:lang w:val="en-US"/>
        </w:rPr>
        <w:t>.</w:t>
      </w:r>
      <w:r w:rsidRPr="00CD288C">
        <w:rPr>
          <w:rFonts w:ascii="Arial" w:eastAsia="Arial" w:hAnsi="Arial" w:cs="Arial"/>
          <w:color w:val="000000"/>
          <w:lang w:val="en-US"/>
        </w:rPr>
        <w:t xml:space="preserve"> comments</w:t>
      </w:r>
      <w:r w:rsidR="00556DE7" w:rsidRPr="00CD288C">
        <w:rPr>
          <w:rFonts w:ascii="Arial" w:eastAsia="Arial" w:hAnsi="Arial" w:cs="Arial"/>
          <w:color w:val="000000"/>
          <w:lang w:val="en-US"/>
        </w:rPr>
        <w:t xml:space="preserve"> “</w:t>
      </w:r>
      <w:r w:rsidRPr="00CD288C">
        <w:rPr>
          <w:rFonts w:ascii="Arial" w:eastAsia="Arial" w:hAnsi="Arial" w:cs="Arial"/>
          <w:color w:val="000000"/>
          <w:lang w:val="en-US"/>
        </w:rPr>
        <w:t>This updated study has proven the long</w:t>
      </w:r>
      <w:r w:rsidR="00733F32">
        <w:rPr>
          <w:rFonts w:ascii="Arial" w:eastAsia="Arial" w:hAnsi="Arial" w:cs="Arial"/>
          <w:color w:val="000000"/>
          <w:lang w:val="en-US"/>
        </w:rPr>
        <w:t>-</w:t>
      </w:r>
      <w:r w:rsidRPr="00CD288C">
        <w:rPr>
          <w:rFonts w:ascii="Arial" w:eastAsia="Arial" w:hAnsi="Arial" w:cs="Arial"/>
          <w:color w:val="000000"/>
          <w:lang w:val="en-US"/>
        </w:rPr>
        <w:t xml:space="preserve">term </w:t>
      </w:r>
      <w:r w:rsidR="00556DE7" w:rsidRPr="00CD288C">
        <w:rPr>
          <w:rFonts w:ascii="Arial" w:eastAsia="Arial" w:hAnsi="Arial" w:cs="Arial"/>
          <w:color w:val="000000"/>
          <w:lang w:val="en-US"/>
        </w:rPr>
        <w:t>viability</w:t>
      </w:r>
      <w:r w:rsidRPr="00CD288C">
        <w:rPr>
          <w:rFonts w:ascii="Arial" w:eastAsia="Arial" w:hAnsi="Arial" w:cs="Arial"/>
          <w:color w:val="000000"/>
          <w:lang w:val="en-US"/>
        </w:rPr>
        <w:t xml:space="preserve"> of the Rovina Valley Project</w:t>
      </w:r>
      <w:r w:rsidR="00556DE7" w:rsidRPr="00CD288C">
        <w:rPr>
          <w:rFonts w:ascii="Arial" w:eastAsia="Arial" w:hAnsi="Arial" w:cs="Arial"/>
          <w:color w:val="000000"/>
          <w:lang w:val="en-US"/>
        </w:rPr>
        <w:t xml:space="preserve">, </w:t>
      </w:r>
      <w:r w:rsidRPr="00CD288C">
        <w:rPr>
          <w:rFonts w:ascii="Arial" w:eastAsia="Arial" w:hAnsi="Arial" w:cs="Arial"/>
          <w:color w:val="000000"/>
          <w:lang w:val="en-US"/>
        </w:rPr>
        <w:t xml:space="preserve">one of the largest undeveloped Copper-Gold projects in Europe. The substantially improved economics based upon </w:t>
      </w:r>
      <w:r w:rsidR="00733F32">
        <w:rPr>
          <w:rFonts w:ascii="Arial" w:eastAsia="Arial" w:hAnsi="Arial" w:cs="Arial"/>
          <w:color w:val="000000"/>
          <w:lang w:val="en-US"/>
        </w:rPr>
        <w:t xml:space="preserve">conservative </w:t>
      </w:r>
      <w:r w:rsidRPr="00CD288C">
        <w:rPr>
          <w:rFonts w:ascii="Arial" w:eastAsia="Arial" w:hAnsi="Arial" w:cs="Arial"/>
          <w:color w:val="000000"/>
          <w:lang w:val="en-US"/>
        </w:rPr>
        <w:t>long term commodity prices</w:t>
      </w:r>
      <w:r w:rsidR="004E1367" w:rsidRPr="00CD288C">
        <w:rPr>
          <w:rFonts w:ascii="Arial" w:eastAsia="Arial" w:hAnsi="Arial" w:cs="Arial"/>
          <w:color w:val="000000"/>
          <w:lang w:val="en-US"/>
        </w:rPr>
        <w:t>,</w:t>
      </w:r>
      <w:r w:rsidRPr="00CD288C">
        <w:rPr>
          <w:rFonts w:ascii="Arial" w:eastAsia="Arial" w:hAnsi="Arial" w:cs="Arial"/>
          <w:color w:val="000000"/>
          <w:lang w:val="en-US"/>
        </w:rPr>
        <w:t xml:space="preserve"> indicate further possible upside as</w:t>
      </w:r>
      <w:r w:rsidR="004E1367" w:rsidRPr="00CD288C">
        <w:rPr>
          <w:rFonts w:ascii="Arial" w:eastAsia="Arial" w:hAnsi="Arial" w:cs="Arial"/>
          <w:color w:val="000000"/>
          <w:lang w:val="en-US"/>
        </w:rPr>
        <w:t xml:space="preserve"> the project moves </w:t>
      </w:r>
      <w:r w:rsidRPr="00CD288C">
        <w:rPr>
          <w:rFonts w:ascii="Arial" w:eastAsia="Arial" w:hAnsi="Arial" w:cs="Arial"/>
          <w:color w:val="000000"/>
          <w:lang w:val="en-US"/>
        </w:rPr>
        <w:t>to</w:t>
      </w:r>
      <w:r w:rsidR="006A3F03">
        <w:rPr>
          <w:rFonts w:ascii="Arial" w:eastAsia="Arial" w:hAnsi="Arial" w:cs="Arial"/>
          <w:color w:val="000000"/>
          <w:lang w:val="en-US"/>
        </w:rPr>
        <w:t>ward</w:t>
      </w:r>
      <w:r w:rsidRPr="00CD288C">
        <w:rPr>
          <w:rFonts w:ascii="Arial" w:eastAsia="Arial" w:hAnsi="Arial" w:cs="Arial"/>
          <w:color w:val="000000"/>
          <w:lang w:val="en-US"/>
        </w:rPr>
        <w:t xml:space="preserve"> production. With operating after-tax cashflows</w:t>
      </w:r>
      <w:r w:rsidR="006A3F03">
        <w:rPr>
          <w:rFonts w:ascii="Arial" w:eastAsia="Arial" w:hAnsi="Arial" w:cs="Arial"/>
          <w:color w:val="000000"/>
          <w:lang w:val="en-US"/>
        </w:rPr>
        <w:t xml:space="preserve"> anticipated to be</w:t>
      </w:r>
      <w:r w:rsidRPr="00CD288C">
        <w:rPr>
          <w:rFonts w:ascii="Arial" w:eastAsia="Arial" w:hAnsi="Arial" w:cs="Arial"/>
          <w:color w:val="000000"/>
          <w:lang w:val="en-US"/>
        </w:rPr>
        <w:t xml:space="preserve"> of more than US$1 billion and a highly competitive AISC of US$787</w:t>
      </w:r>
      <w:r w:rsidR="00091A24">
        <w:rPr>
          <w:rFonts w:ascii="Arial" w:eastAsia="Arial" w:hAnsi="Arial" w:cs="Arial"/>
          <w:color w:val="000000"/>
          <w:lang w:val="en-US"/>
        </w:rPr>
        <w:t xml:space="preserve"> gold equivalent ounce </w:t>
      </w:r>
      <w:r w:rsidRPr="00CD288C">
        <w:rPr>
          <w:rFonts w:ascii="Arial" w:eastAsia="Arial" w:hAnsi="Arial" w:cs="Arial"/>
          <w:color w:val="000000"/>
          <w:lang w:val="en-US"/>
        </w:rPr>
        <w:t xml:space="preserve">oz, this is </w:t>
      </w:r>
      <w:r w:rsidR="00C07580" w:rsidRPr="00CD288C">
        <w:rPr>
          <w:rFonts w:ascii="Arial" w:eastAsia="Arial" w:hAnsi="Arial" w:cs="Arial"/>
          <w:color w:val="000000"/>
          <w:lang w:val="en-US"/>
        </w:rPr>
        <w:t xml:space="preserve">clearly a </w:t>
      </w:r>
      <w:r w:rsidR="00724E5D" w:rsidRPr="00CD288C">
        <w:rPr>
          <w:rFonts w:ascii="Arial" w:eastAsia="Arial" w:hAnsi="Arial" w:cs="Arial"/>
          <w:color w:val="000000"/>
          <w:lang w:val="en-US"/>
        </w:rPr>
        <w:t>high-quality</w:t>
      </w:r>
      <w:r w:rsidRPr="00CD288C">
        <w:rPr>
          <w:rFonts w:ascii="Arial" w:eastAsia="Arial" w:hAnsi="Arial" w:cs="Arial"/>
          <w:color w:val="000000"/>
          <w:lang w:val="en-US"/>
        </w:rPr>
        <w:t xml:space="preserve"> project. We are moving methodically along the permitting route and look forward to providing </w:t>
      </w:r>
      <w:r w:rsidR="00724E5D" w:rsidRPr="00CD288C">
        <w:rPr>
          <w:rFonts w:ascii="Arial" w:eastAsia="Arial" w:hAnsi="Arial" w:cs="Arial"/>
          <w:color w:val="000000"/>
          <w:lang w:val="en-US"/>
        </w:rPr>
        <w:t>further</w:t>
      </w:r>
      <w:r w:rsidRPr="00CD288C">
        <w:rPr>
          <w:rFonts w:ascii="Arial" w:eastAsia="Arial" w:hAnsi="Arial" w:cs="Arial"/>
          <w:color w:val="000000"/>
          <w:lang w:val="en-US"/>
        </w:rPr>
        <w:t xml:space="preserve"> positive updates over the first half of 2022.</w:t>
      </w:r>
      <w:r w:rsidR="00556DE7" w:rsidRPr="00E52B03">
        <w:rPr>
          <w:rFonts w:ascii="Arial" w:eastAsia="Arial" w:hAnsi="Arial" w:cs="Arial"/>
          <w:color w:val="000000"/>
          <w:lang w:val="en-US"/>
        </w:rPr>
        <w:t>”</w:t>
      </w:r>
    </w:p>
    <w:p w14:paraId="2783FFA6" w14:textId="77777777" w:rsidR="00B218CF" w:rsidRDefault="00B218CF" w:rsidP="00B218CF">
      <w:pPr>
        <w:jc w:val="both"/>
        <w:rPr>
          <w:rFonts w:ascii="Arial" w:eastAsia="Arial" w:hAnsi="Arial" w:cs="Arial"/>
          <w:color w:val="000000"/>
          <w:lang w:val="en-US"/>
        </w:rPr>
      </w:pPr>
    </w:p>
    <w:p w14:paraId="0D03CF81" w14:textId="24503EBA" w:rsidR="00B218CF" w:rsidRDefault="00B218CF" w:rsidP="00B218CF">
      <w:pPr>
        <w:jc w:val="both"/>
        <w:rPr>
          <w:rFonts w:ascii="Arial" w:hAnsi="Arial" w:cs="Arial"/>
          <w:iCs/>
        </w:rPr>
      </w:pPr>
      <w:r>
        <w:rPr>
          <w:rFonts w:ascii="Arial" w:eastAsia="Arial" w:hAnsi="Arial" w:cs="Arial"/>
          <w:color w:val="000000"/>
          <w:lang w:val="en-US"/>
        </w:rPr>
        <w:t xml:space="preserve">The optimized and updated DFS for </w:t>
      </w:r>
      <w:r w:rsidR="006A3F03">
        <w:rPr>
          <w:rFonts w:ascii="Arial" w:eastAsia="Arial" w:hAnsi="Arial" w:cs="Arial"/>
          <w:color w:val="000000"/>
          <w:lang w:val="en-US"/>
        </w:rPr>
        <w:t xml:space="preserve">the </w:t>
      </w:r>
      <w:r>
        <w:rPr>
          <w:rFonts w:ascii="Arial" w:eastAsia="Arial" w:hAnsi="Arial" w:cs="Arial"/>
          <w:color w:val="000000"/>
          <w:lang w:val="en-US"/>
        </w:rPr>
        <w:t xml:space="preserve">Rovina Valley Project continues to focus on responsible mining procedures including, dry stacking, continuous </w:t>
      </w:r>
      <w:r w:rsidR="001936B6">
        <w:rPr>
          <w:rFonts w:ascii="Arial" w:eastAsia="Arial" w:hAnsi="Arial" w:cs="Arial"/>
          <w:color w:val="000000"/>
          <w:lang w:val="en-US"/>
        </w:rPr>
        <w:t>revegetation,</w:t>
      </w:r>
      <w:r>
        <w:rPr>
          <w:rFonts w:ascii="Arial" w:eastAsia="Arial" w:hAnsi="Arial" w:cs="Arial"/>
          <w:color w:val="000000"/>
          <w:lang w:val="en-US"/>
        </w:rPr>
        <w:t xml:space="preserve"> and a cyanide free processing facility. The enhanced project </w:t>
      </w:r>
      <w:r w:rsidR="00733F32">
        <w:rPr>
          <w:rFonts w:ascii="Arial" w:eastAsia="Arial" w:hAnsi="Arial" w:cs="Arial"/>
          <w:color w:val="000000"/>
          <w:lang w:val="en-US"/>
        </w:rPr>
        <w:t xml:space="preserve">benefits </w:t>
      </w:r>
      <w:r>
        <w:rPr>
          <w:rFonts w:ascii="Arial" w:eastAsia="Arial" w:hAnsi="Arial" w:cs="Arial"/>
          <w:color w:val="000000"/>
          <w:lang w:val="en-US"/>
        </w:rPr>
        <w:t>from p</w:t>
      </w:r>
      <w:r w:rsidRPr="00B50862">
        <w:rPr>
          <w:rFonts w:ascii="Arial" w:eastAsia="Arial" w:hAnsi="Arial" w:cs="Arial"/>
          <w:color w:val="000000"/>
          <w:lang w:val="en-US"/>
        </w:rPr>
        <w:t xml:space="preserve">ositive </w:t>
      </w:r>
      <w:r>
        <w:rPr>
          <w:rFonts w:ascii="Arial" w:eastAsia="Arial" w:hAnsi="Arial" w:cs="Arial"/>
          <w:color w:val="000000"/>
          <w:lang w:val="en-US"/>
        </w:rPr>
        <w:t>geotechnical study results</w:t>
      </w:r>
      <w:r w:rsidRPr="00B50862">
        <w:rPr>
          <w:rFonts w:ascii="Arial" w:eastAsia="Arial" w:hAnsi="Arial" w:cs="Arial"/>
          <w:color w:val="000000"/>
          <w:lang w:val="en-US"/>
        </w:rPr>
        <w:t>, reduc</w:t>
      </w:r>
      <w:r>
        <w:rPr>
          <w:rFonts w:ascii="Arial" w:eastAsia="Arial" w:hAnsi="Arial" w:cs="Arial"/>
          <w:color w:val="000000"/>
          <w:lang w:val="en-US"/>
        </w:rPr>
        <w:t>ing</w:t>
      </w:r>
      <w:r w:rsidRPr="00B50862">
        <w:rPr>
          <w:rFonts w:ascii="Arial" w:eastAsia="Arial" w:hAnsi="Arial" w:cs="Arial"/>
          <w:color w:val="000000"/>
          <w:lang w:val="en-US"/>
        </w:rPr>
        <w:t xml:space="preserve"> waste removal and strip ratios</w:t>
      </w:r>
      <w:r>
        <w:rPr>
          <w:rFonts w:ascii="Arial" w:eastAsia="Arial" w:hAnsi="Arial" w:cs="Arial"/>
          <w:color w:val="000000"/>
          <w:lang w:val="en-US"/>
        </w:rPr>
        <w:t xml:space="preserve">, </w:t>
      </w:r>
      <w:r w:rsidRPr="00B21CB2">
        <w:rPr>
          <w:rFonts w:ascii="Arial" w:eastAsia="Arial" w:hAnsi="Arial" w:cs="Arial"/>
          <w:color w:val="000000"/>
          <w:lang w:val="en-US"/>
        </w:rPr>
        <w:t>driving</w:t>
      </w:r>
      <w:r>
        <w:rPr>
          <w:rFonts w:ascii="Arial" w:eastAsia="Arial" w:hAnsi="Arial" w:cs="Arial"/>
          <w:color w:val="000000"/>
          <w:lang w:val="en-US"/>
        </w:rPr>
        <w:t xml:space="preserve"> a 9% increase in gold production and a 41% increase in </w:t>
      </w:r>
      <w:r w:rsidR="00091A24">
        <w:rPr>
          <w:rFonts w:ascii="Arial" w:eastAsia="Arial" w:hAnsi="Arial" w:cs="Arial"/>
          <w:color w:val="000000"/>
          <w:lang w:val="en-US"/>
        </w:rPr>
        <w:t xml:space="preserve">pre-tax </w:t>
      </w:r>
      <w:r>
        <w:rPr>
          <w:rFonts w:ascii="Arial" w:eastAsia="Arial" w:hAnsi="Arial" w:cs="Arial"/>
          <w:color w:val="000000"/>
          <w:lang w:val="en-US"/>
        </w:rPr>
        <w:t>NPV</w:t>
      </w:r>
      <w:r w:rsidR="00B21CB2">
        <w:rPr>
          <w:rFonts w:ascii="Arial" w:eastAsia="Arial" w:hAnsi="Arial" w:cs="Arial"/>
          <w:color w:val="000000"/>
          <w:lang w:val="en-US"/>
        </w:rPr>
        <w:t>.</w:t>
      </w:r>
      <w:r w:rsidRPr="00B50862">
        <w:rPr>
          <w:rFonts w:ascii="Arial" w:eastAsia="Arial" w:hAnsi="Arial" w:cs="Arial"/>
          <w:color w:val="000000"/>
          <w:lang w:val="en-US"/>
        </w:rPr>
        <w:t xml:space="preserve"> The DFS also incorporated </w:t>
      </w:r>
      <w:r>
        <w:rPr>
          <w:rFonts w:ascii="Arial" w:eastAsia="Arial" w:hAnsi="Arial" w:cs="Arial"/>
          <w:color w:val="000000"/>
          <w:lang w:val="en-US"/>
        </w:rPr>
        <w:t>updated</w:t>
      </w:r>
      <w:r w:rsidRPr="00B50862">
        <w:rPr>
          <w:rFonts w:ascii="Arial" w:eastAsia="Arial" w:hAnsi="Arial" w:cs="Arial"/>
          <w:color w:val="000000"/>
          <w:lang w:val="en-US"/>
        </w:rPr>
        <w:t xml:space="preserve"> cost </w:t>
      </w:r>
      <w:r>
        <w:rPr>
          <w:rFonts w:ascii="Arial" w:eastAsia="Arial" w:hAnsi="Arial" w:cs="Arial"/>
          <w:color w:val="000000"/>
          <w:lang w:val="en-US"/>
        </w:rPr>
        <w:t xml:space="preserve">estimates </w:t>
      </w:r>
      <w:r w:rsidRPr="00B50862">
        <w:rPr>
          <w:rFonts w:ascii="Arial" w:eastAsia="Arial" w:hAnsi="Arial" w:cs="Arial"/>
          <w:color w:val="000000"/>
          <w:lang w:val="en-US"/>
        </w:rPr>
        <w:t>and metal price</w:t>
      </w:r>
      <w:r>
        <w:rPr>
          <w:rFonts w:ascii="Arial" w:eastAsia="Arial" w:hAnsi="Arial" w:cs="Arial"/>
          <w:color w:val="000000"/>
          <w:lang w:val="en-US"/>
        </w:rPr>
        <w:t xml:space="preserve"> assumption</w:t>
      </w:r>
      <w:r w:rsidRPr="00B50862">
        <w:rPr>
          <w:rFonts w:ascii="Arial" w:eastAsia="Arial" w:hAnsi="Arial" w:cs="Arial"/>
          <w:color w:val="000000"/>
          <w:lang w:val="en-US"/>
        </w:rPr>
        <w:t xml:space="preserve">s. </w:t>
      </w:r>
    </w:p>
    <w:p w14:paraId="6A5201E9" w14:textId="77777777" w:rsidR="00B218CF" w:rsidRDefault="00B218CF" w:rsidP="008A2003">
      <w:pPr>
        <w:jc w:val="both"/>
        <w:rPr>
          <w:rFonts w:ascii="Arial" w:hAnsi="Arial" w:cs="Arial"/>
          <w:iCs/>
        </w:rPr>
      </w:pPr>
    </w:p>
    <w:p w14:paraId="63328E47" w14:textId="1C151384" w:rsidR="008A2003" w:rsidRDefault="008A2003" w:rsidP="008A2003">
      <w:pPr>
        <w:jc w:val="both"/>
        <w:rPr>
          <w:rFonts w:ascii="Arial" w:hAnsi="Arial" w:cs="Arial"/>
          <w:iCs/>
        </w:rPr>
      </w:pPr>
      <w:r>
        <w:rPr>
          <w:rFonts w:ascii="Arial" w:hAnsi="Arial" w:cs="Arial"/>
          <w:iCs/>
        </w:rPr>
        <w:t xml:space="preserve">Euro Sun </w:t>
      </w:r>
      <w:r w:rsidRPr="00CF1C5C">
        <w:rPr>
          <w:rFonts w:ascii="Arial" w:hAnsi="Arial" w:cs="Arial"/>
          <w:iCs/>
        </w:rPr>
        <w:t xml:space="preserve">is </w:t>
      </w:r>
      <w:r>
        <w:rPr>
          <w:rFonts w:ascii="Arial" w:hAnsi="Arial" w:cs="Arial"/>
          <w:iCs/>
        </w:rPr>
        <w:t xml:space="preserve">incorporating strong responsible mining procedures into every aspect of the project and is </w:t>
      </w:r>
      <w:r w:rsidRPr="00CF1C5C">
        <w:rPr>
          <w:rFonts w:ascii="Arial" w:hAnsi="Arial" w:cs="Arial"/>
          <w:iCs/>
        </w:rPr>
        <w:t xml:space="preserve">utilizing a </w:t>
      </w:r>
      <w:r>
        <w:rPr>
          <w:rFonts w:ascii="Arial" w:hAnsi="Arial" w:cs="Arial"/>
          <w:iCs/>
        </w:rPr>
        <w:t>phas</w:t>
      </w:r>
      <w:r w:rsidRPr="00CF1C5C">
        <w:rPr>
          <w:rFonts w:ascii="Arial" w:hAnsi="Arial" w:cs="Arial"/>
          <w:iCs/>
        </w:rPr>
        <w:t xml:space="preserve">ed development approach for the Rovina Valley Project. The Rovina Valley Project consists of </w:t>
      </w:r>
      <w:r>
        <w:rPr>
          <w:rFonts w:ascii="Arial" w:hAnsi="Arial" w:cs="Arial"/>
          <w:iCs/>
        </w:rPr>
        <w:t xml:space="preserve">two open pit gold-copper deposits, </w:t>
      </w:r>
      <w:r w:rsidRPr="00CF1C5C">
        <w:rPr>
          <w:rFonts w:ascii="Arial" w:hAnsi="Arial" w:cs="Arial"/>
          <w:iCs/>
        </w:rPr>
        <w:t>C</w:t>
      </w:r>
      <w:r>
        <w:rPr>
          <w:rFonts w:ascii="Arial" w:hAnsi="Arial" w:cs="Arial"/>
          <w:iCs/>
        </w:rPr>
        <w:t>olnic</w:t>
      </w:r>
      <w:r w:rsidRPr="00CF1C5C">
        <w:rPr>
          <w:rFonts w:ascii="Arial" w:hAnsi="Arial" w:cs="Arial"/>
          <w:iCs/>
        </w:rPr>
        <w:t xml:space="preserve"> and R</w:t>
      </w:r>
      <w:r>
        <w:rPr>
          <w:rFonts w:ascii="Arial" w:hAnsi="Arial" w:cs="Arial"/>
          <w:iCs/>
        </w:rPr>
        <w:t>ovina,</w:t>
      </w:r>
      <w:r w:rsidRPr="00CF1C5C">
        <w:rPr>
          <w:rFonts w:ascii="Arial" w:hAnsi="Arial" w:cs="Arial"/>
          <w:iCs/>
        </w:rPr>
        <w:t xml:space="preserve"> and the </w:t>
      </w:r>
      <w:r>
        <w:rPr>
          <w:rFonts w:ascii="Arial" w:hAnsi="Arial" w:cs="Arial"/>
          <w:iCs/>
        </w:rPr>
        <w:t xml:space="preserve">underground </w:t>
      </w:r>
      <w:r w:rsidRPr="00CF1C5C">
        <w:rPr>
          <w:rFonts w:ascii="Arial" w:hAnsi="Arial" w:cs="Arial"/>
          <w:iCs/>
        </w:rPr>
        <w:t>C</w:t>
      </w:r>
      <w:r>
        <w:rPr>
          <w:rFonts w:ascii="Arial" w:hAnsi="Arial" w:cs="Arial"/>
          <w:iCs/>
        </w:rPr>
        <w:t>iresata</w:t>
      </w:r>
      <w:r w:rsidRPr="00CF1C5C">
        <w:rPr>
          <w:rFonts w:ascii="Arial" w:hAnsi="Arial" w:cs="Arial"/>
          <w:iCs/>
        </w:rPr>
        <w:t xml:space="preserve"> gold-copper deposit</w:t>
      </w:r>
      <w:r>
        <w:rPr>
          <w:rFonts w:ascii="Arial" w:hAnsi="Arial" w:cs="Arial"/>
          <w:iCs/>
        </w:rPr>
        <w:t>.</w:t>
      </w:r>
      <w:r w:rsidR="00E52C9E">
        <w:rPr>
          <w:rFonts w:ascii="Arial" w:hAnsi="Arial" w:cs="Arial"/>
          <w:iCs/>
        </w:rPr>
        <w:t xml:space="preserve"> </w:t>
      </w:r>
      <w:r>
        <w:rPr>
          <w:rFonts w:ascii="Arial" w:hAnsi="Arial" w:cs="Arial"/>
          <w:iCs/>
        </w:rPr>
        <w:t>The</w:t>
      </w:r>
      <w:r w:rsidRPr="00CF1C5C">
        <w:rPr>
          <w:rFonts w:ascii="Arial" w:hAnsi="Arial" w:cs="Arial"/>
          <w:iCs/>
        </w:rPr>
        <w:t xml:space="preserve"> C</w:t>
      </w:r>
      <w:r>
        <w:rPr>
          <w:rFonts w:ascii="Arial" w:hAnsi="Arial" w:cs="Arial"/>
          <w:iCs/>
        </w:rPr>
        <w:t>iresata</w:t>
      </w:r>
      <w:r w:rsidRPr="00CF1C5C">
        <w:rPr>
          <w:rFonts w:ascii="Arial" w:hAnsi="Arial" w:cs="Arial"/>
          <w:iCs/>
        </w:rPr>
        <w:t xml:space="preserve"> underground </w:t>
      </w:r>
      <w:r>
        <w:rPr>
          <w:rFonts w:ascii="Arial" w:hAnsi="Arial" w:cs="Arial"/>
          <w:iCs/>
        </w:rPr>
        <w:t>deposit is expected to be phased in following the completion of the Colnic and Rovina pits</w:t>
      </w:r>
      <w:r w:rsidR="00091A24">
        <w:rPr>
          <w:rFonts w:ascii="Arial" w:hAnsi="Arial" w:cs="Arial"/>
          <w:iCs/>
        </w:rPr>
        <w:t xml:space="preserve">, assuming future mining studies are </w:t>
      </w:r>
      <w:r w:rsidR="001936B6">
        <w:rPr>
          <w:rFonts w:ascii="Arial" w:hAnsi="Arial" w:cs="Arial"/>
          <w:iCs/>
        </w:rPr>
        <w:t>completed,</w:t>
      </w:r>
      <w:r w:rsidR="00091A24">
        <w:rPr>
          <w:rFonts w:ascii="Arial" w:hAnsi="Arial" w:cs="Arial"/>
          <w:iCs/>
        </w:rPr>
        <w:t xml:space="preserve"> and positive results are obtained.</w:t>
      </w:r>
    </w:p>
    <w:p w14:paraId="41033FF2" w14:textId="77777777" w:rsidR="00F52308" w:rsidRDefault="00F52308" w:rsidP="00EA3973">
      <w:pPr>
        <w:jc w:val="both"/>
        <w:rPr>
          <w:rFonts w:ascii="Arial" w:hAnsi="Arial" w:cs="Arial"/>
          <w:b/>
          <w:bCs/>
          <w:iCs/>
        </w:rPr>
      </w:pPr>
    </w:p>
    <w:p w14:paraId="1B7B1B05" w14:textId="2F4B5922" w:rsidR="00B8537C" w:rsidRDefault="000A207B" w:rsidP="00170A4A">
      <w:pPr>
        <w:rPr>
          <w:rFonts w:ascii="Arial" w:hAnsi="Arial" w:cs="Arial"/>
          <w:b/>
          <w:bCs/>
          <w:iCs/>
        </w:rPr>
      </w:pPr>
      <w:r w:rsidRPr="00101DB0">
        <w:rPr>
          <w:rFonts w:ascii="Arial" w:hAnsi="Arial" w:cs="Arial"/>
          <w:b/>
          <w:bCs/>
          <w:iCs/>
        </w:rPr>
        <w:t xml:space="preserve">Table 1: </w:t>
      </w:r>
      <w:r w:rsidR="004D046E">
        <w:rPr>
          <w:rFonts w:ascii="Arial" w:hAnsi="Arial" w:cs="Arial"/>
          <w:b/>
          <w:bCs/>
          <w:iCs/>
        </w:rPr>
        <w:t xml:space="preserve">Updated </w:t>
      </w:r>
      <w:r w:rsidRPr="00101DB0">
        <w:rPr>
          <w:rFonts w:ascii="Arial" w:hAnsi="Arial" w:cs="Arial"/>
          <w:b/>
          <w:bCs/>
          <w:iCs/>
        </w:rPr>
        <w:t xml:space="preserve">Definitive Feasibility </w:t>
      </w:r>
      <w:r w:rsidR="00101DB0" w:rsidRPr="00101DB0">
        <w:rPr>
          <w:rFonts w:ascii="Arial" w:hAnsi="Arial" w:cs="Arial"/>
          <w:b/>
          <w:bCs/>
          <w:iCs/>
        </w:rPr>
        <w:t>Highlights</w:t>
      </w:r>
    </w:p>
    <w:p w14:paraId="7DAF778D" w14:textId="7FFDFB86" w:rsidR="00CD288C" w:rsidRDefault="00CD288C" w:rsidP="00170A4A">
      <w:pPr>
        <w:rPr>
          <w:rFonts w:ascii="Arial" w:hAnsi="Arial" w:cs="Arial"/>
          <w:b/>
          <w:bCs/>
          <w:iCs/>
        </w:rPr>
      </w:pPr>
    </w:p>
    <w:tbl>
      <w:tblPr>
        <w:tblW w:w="8420" w:type="dxa"/>
        <w:tblLook w:val="04A0" w:firstRow="1" w:lastRow="0" w:firstColumn="1" w:lastColumn="0" w:noHBand="0" w:noVBand="1"/>
      </w:tblPr>
      <w:tblGrid>
        <w:gridCol w:w="4300"/>
        <w:gridCol w:w="2060"/>
        <w:gridCol w:w="2060"/>
      </w:tblGrid>
      <w:tr w:rsidR="00AB05AB" w:rsidRPr="00AB05AB" w14:paraId="45EEE078" w14:textId="77777777" w:rsidTr="00AB05AB">
        <w:trPr>
          <w:trHeight w:val="294"/>
        </w:trPr>
        <w:tc>
          <w:tcPr>
            <w:tcW w:w="4300" w:type="dxa"/>
            <w:tcBorders>
              <w:top w:val="single" w:sz="8" w:space="0" w:color="auto"/>
              <w:left w:val="single" w:sz="8" w:space="0" w:color="auto"/>
              <w:bottom w:val="single" w:sz="8" w:space="0" w:color="auto"/>
              <w:right w:val="single" w:sz="8" w:space="0" w:color="auto"/>
            </w:tcBorders>
            <w:shd w:val="clear" w:color="000000" w:fill="FFC000"/>
            <w:noWrap/>
            <w:vAlign w:val="center"/>
            <w:hideMark/>
          </w:tcPr>
          <w:p w14:paraId="0B007178" w14:textId="77777777" w:rsidR="00AB05AB" w:rsidRPr="00AB05AB" w:rsidRDefault="00AB05AB" w:rsidP="00AB05AB">
            <w:pPr>
              <w:jc w:val="both"/>
              <w:rPr>
                <w:rFonts w:ascii="Arial" w:eastAsia="Times New Roman" w:hAnsi="Arial" w:cs="Arial"/>
                <w:b/>
                <w:bCs/>
                <w:color w:val="000000"/>
                <w:sz w:val="20"/>
                <w:szCs w:val="20"/>
                <w:lang w:eastAsia="en-CA"/>
              </w:rPr>
            </w:pPr>
            <w:r w:rsidRPr="00AB05AB">
              <w:rPr>
                <w:rFonts w:ascii="Arial" w:eastAsia="Times New Roman" w:hAnsi="Arial" w:cs="Arial"/>
                <w:b/>
                <w:bCs/>
                <w:color w:val="000000"/>
                <w:sz w:val="20"/>
                <w:szCs w:val="20"/>
                <w:lang w:eastAsia="en-CA"/>
              </w:rPr>
              <w:t>2022 DFS Highlights</w:t>
            </w:r>
          </w:p>
        </w:tc>
        <w:tc>
          <w:tcPr>
            <w:tcW w:w="2060" w:type="dxa"/>
            <w:tcBorders>
              <w:top w:val="single" w:sz="8" w:space="0" w:color="auto"/>
              <w:left w:val="nil"/>
              <w:bottom w:val="single" w:sz="8" w:space="0" w:color="auto"/>
              <w:right w:val="single" w:sz="8" w:space="0" w:color="auto"/>
            </w:tcBorders>
            <w:shd w:val="clear" w:color="000000" w:fill="FFC000"/>
            <w:noWrap/>
            <w:vAlign w:val="center"/>
            <w:hideMark/>
          </w:tcPr>
          <w:p w14:paraId="2B0DAEBC" w14:textId="77777777" w:rsidR="00AB05AB" w:rsidRPr="00AB05AB" w:rsidRDefault="00AB05AB" w:rsidP="00AB05AB">
            <w:pPr>
              <w:jc w:val="right"/>
              <w:rPr>
                <w:rFonts w:ascii="Arial" w:eastAsia="Times New Roman" w:hAnsi="Arial" w:cs="Arial"/>
                <w:b/>
                <w:bCs/>
                <w:color w:val="000000"/>
                <w:sz w:val="20"/>
                <w:szCs w:val="20"/>
                <w:lang w:eastAsia="en-CA"/>
              </w:rPr>
            </w:pPr>
            <w:r w:rsidRPr="00AB05AB">
              <w:rPr>
                <w:rFonts w:ascii="Arial" w:eastAsia="Times New Roman" w:hAnsi="Arial" w:cs="Arial"/>
                <w:b/>
                <w:bCs/>
                <w:color w:val="000000"/>
                <w:sz w:val="20"/>
                <w:szCs w:val="20"/>
                <w:lang w:eastAsia="en-CA"/>
              </w:rPr>
              <w:t>Life of Mine</w:t>
            </w:r>
          </w:p>
        </w:tc>
        <w:tc>
          <w:tcPr>
            <w:tcW w:w="2060" w:type="dxa"/>
            <w:tcBorders>
              <w:top w:val="single" w:sz="8" w:space="0" w:color="auto"/>
              <w:left w:val="nil"/>
              <w:bottom w:val="single" w:sz="8" w:space="0" w:color="auto"/>
              <w:right w:val="single" w:sz="8" w:space="0" w:color="auto"/>
            </w:tcBorders>
            <w:shd w:val="clear" w:color="000000" w:fill="FFC000"/>
            <w:noWrap/>
            <w:vAlign w:val="center"/>
            <w:hideMark/>
          </w:tcPr>
          <w:p w14:paraId="46F5273B" w14:textId="77777777" w:rsidR="00AB05AB" w:rsidRPr="00AB05AB" w:rsidRDefault="00AB05AB" w:rsidP="00AB05AB">
            <w:pPr>
              <w:jc w:val="right"/>
              <w:rPr>
                <w:rFonts w:ascii="Arial" w:eastAsia="Times New Roman" w:hAnsi="Arial" w:cs="Arial"/>
                <w:b/>
                <w:bCs/>
                <w:color w:val="000000"/>
                <w:sz w:val="20"/>
                <w:szCs w:val="20"/>
                <w:lang w:eastAsia="en-CA"/>
              </w:rPr>
            </w:pPr>
            <w:r w:rsidRPr="00AB05AB">
              <w:rPr>
                <w:rFonts w:ascii="Arial" w:eastAsia="Times New Roman" w:hAnsi="Arial" w:cs="Arial"/>
                <w:b/>
                <w:bCs/>
                <w:color w:val="000000"/>
                <w:sz w:val="20"/>
                <w:szCs w:val="20"/>
                <w:lang w:eastAsia="en-CA"/>
              </w:rPr>
              <w:t>First 10 Years</w:t>
            </w:r>
          </w:p>
        </w:tc>
      </w:tr>
      <w:tr w:rsidR="00AB05AB" w:rsidRPr="00AB05AB" w14:paraId="5E51C465" w14:textId="77777777" w:rsidTr="00AB05AB">
        <w:trPr>
          <w:trHeight w:val="294"/>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14:paraId="782633DB" w14:textId="77777777" w:rsidR="00AB05AB" w:rsidRPr="00AB05AB" w:rsidRDefault="00AB05AB" w:rsidP="00AB05AB">
            <w:pPr>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 xml:space="preserve">Gold price </w:t>
            </w:r>
          </w:p>
        </w:tc>
        <w:tc>
          <w:tcPr>
            <w:tcW w:w="4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CA057B6" w14:textId="77777777" w:rsidR="00AB05AB" w:rsidRPr="00AB05AB" w:rsidRDefault="00AB05AB" w:rsidP="00AB05AB">
            <w:pPr>
              <w:jc w:val="center"/>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$1,675/oz</w:t>
            </w:r>
          </w:p>
        </w:tc>
      </w:tr>
      <w:tr w:rsidR="00AB05AB" w:rsidRPr="00AB05AB" w14:paraId="299A2DD4" w14:textId="77777777" w:rsidTr="00AB05AB">
        <w:trPr>
          <w:trHeight w:val="294"/>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14:paraId="01E84A76" w14:textId="77777777" w:rsidR="00AB05AB" w:rsidRPr="00AB05AB" w:rsidRDefault="00AB05AB" w:rsidP="00AB05AB">
            <w:pPr>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 xml:space="preserve">Copper price </w:t>
            </w:r>
          </w:p>
        </w:tc>
        <w:tc>
          <w:tcPr>
            <w:tcW w:w="4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77D3655" w14:textId="77777777" w:rsidR="00AB05AB" w:rsidRPr="00AB05AB" w:rsidRDefault="00AB05AB" w:rsidP="00AB05AB">
            <w:pPr>
              <w:jc w:val="center"/>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$3.75/lb</w:t>
            </w:r>
          </w:p>
        </w:tc>
      </w:tr>
      <w:tr w:rsidR="00AB05AB" w:rsidRPr="00AB05AB" w14:paraId="420C2CF9" w14:textId="77777777" w:rsidTr="00AB05AB">
        <w:trPr>
          <w:trHeight w:val="294"/>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14:paraId="1ADCEB6B" w14:textId="77777777" w:rsidR="00AB05AB" w:rsidRPr="00AB05AB" w:rsidRDefault="00AB05AB" w:rsidP="00AB05AB">
            <w:pPr>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Processing Rate</w:t>
            </w:r>
          </w:p>
        </w:tc>
        <w:tc>
          <w:tcPr>
            <w:tcW w:w="4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84033B3" w14:textId="77777777" w:rsidR="00AB05AB" w:rsidRPr="00AB05AB" w:rsidRDefault="00AB05AB" w:rsidP="00AB05AB">
            <w:pPr>
              <w:jc w:val="center"/>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21,000 tonnes per day</w:t>
            </w:r>
          </w:p>
        </w:tc>
      </w:tr>
      <w:tr w:rsidR="00AB05AB" w:rsidRPr="00AB05AB" w14:paraId="4E1B92FE" w14:textId="77777777" w:rsidTr="00AB05AB">
        <w:trPr>
          <w:trHeight w:val="294"/>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14:paraId="68262937" w14:textId="77777777" w:rsidR="00AB05AB" w:rsidRPr="00AB05AB" w:rsidRDefault="00AB05AB" w:rsidP="00AB05AB">
            <w:pPr>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Mine Life</w:t>
            </w:r>
          </w:p>
        </w:tc>
        <w:tc>
          <w:tcPr>
            <w:tcW w:w="2060" w:type="dxa"/>
            <w:tcBorders>
              <w:top w:val="nil"/>
              <w:left w:val="nil"/>
              <w:bottom w:val="single" w:sz="8" w:space="0" w:color="auto"/>
              <w:right w:val="single" w:sz="8" w:space="0" w:color="auto"/>
            </w:tcBorders>
            <w:shd w:val="clear" w:color="auto" w:fill="auto"/>
            <w:noWrap/>
            <w:vAlign w:val="center"/>
            <w:hideMark/>
          </w:tcPr>
          <w:p w14:paraId="1B081E3D" w14:textId="77777777" w:rsidR="00AB05AB" w:rsidRPr="00AB05AB" w:rsidRDefault="00AB05AB" w:rsidP="00AB05AB">
            <w:pPr>
              <w:jc w:val="right"/>
              <w:rPr>
                <w:rFonts w:ascii="Arial" w:eastAsia="Times New Roman" w:hAnsi="Arial" w:cs="Arial"/>
                <w:b/>
                <w:bCs/>
                <w:color w:val="000000"/>
                <w:sz w:val="20"/>
                <w:szCs w:val="20"/>
                <w:lang w:eastAsia="en-CA"/>
              </w:rPr>
            </w:pPr>
            <w:r w:rsidRPr="00AB05AB">
              <w:rPr>
                <w:rFonts w:ascii="Arial" w:eastAsia="Times New Roman" w:hAnsi="Arial" w:cs="Arial"/>
                <w:b/>
                <w:bCs/>
                <w:color w:val="000000"/>
                <w:sz w:val="20"/>
                <w:szCs w:val="20"/>
                <w:lang w:eastAsia="en-CA"/>
              </w:rPr>
              <w:t>17.2 years</w:t>
            </w:r>
          </w:p>
        </w:tc>
        <w:tc>
          <w:tcPr>
            <w:tcW w:w="2060" w:type="dxa"/>
            <w:tcBorders>
              <w:top w:val="nil"/>
              <w:left w:val="nil"/>
              <w:bottom w:val="single" w:sz="8" w:space="0" w:color="auto"/>
              <w:right w:val="single" w:sz="8" w:space="0" w:color="auto"/>
            </w:tcBorders>
            <w:shd w:val="clear" w:color="auto" w:fill="auto"/>
            <w:noWrap/>
            <w:vAlign w:val="center"/>
            <w:hideMark/>
          </w:tcPr>
          <w:p w14:paraId="217CDC49" w14:textId="77777777" w:rsidR="00AB05AB" w:rsidRPr="00AB05AB" w:rsidRDefault="00AB05AB" w:rsidP="00AB05AB">
            <w:pPr>
              <w:jc w:val="both"/>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 </w:t>
            </w:r>
          </w:p>
        </w:tc>
      </w:tr>
      <w:tr w:rsidR="00AB05AB" w:rsidRPr="00AB05AB" w14:paraId="6C461DA4" w14:textId="77777777" w:rsidTr="00AB05AB">
        <w:trPr>
          <w:trHeight w:val="294"/>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14:paraId="12E2F623" w14:textId="77777777" w:rsidR="00AB05AB" w:rsidRPr="00AB05AB" w:rsidRDefault="00AB05AB" w:rsidP="00AB05AB">
            <w:pPr>
              <w:rPr>
                <w:rFonts w:ascii="Arial" w:eastAsia="Times New Roman" w:hAnsi="Arial" w:cs="Arial"/>
                <w:b/>
                <w:bCs/>
                <w:color w:val="000000"/>
                <w:sz w:val="20"/>
                <w:szCs w:val="20"/>
                <w:lang w:eastAsia="en-CA"/>
              </w:rPr>
            </w:pPr>
            <w:r w:rsidRPr="00AB05AB">
              <w:rPr>
                <w:rFonts w:ascii="Arial" w:eastAsia="Times New Roman" w:hAnsi="Arial" w:cs="Arial"/>
                <w:b/>
                <w:bCs/>
                <w:color w:val="000000"/>
                <w:sz w:val="20"/>
                <w:szCs w:val="20"/>
                <w:lang w:eastAsia="en-CA"/>
              </w:rPr>
              <w:t>Average annual gold equivalent production</w:t>
            </w:r>
          </w:p>
        </w:tc>
        <w:tc>
          <w:tcPr>
            <w:tcW w:w="2060" w:type="dxa"/>
            <w:tcBorders>
              <w:top w:val="nil"/>
              <w:left w:val="nil"/>
              <w:bottom w:val="single" w:sz="8" w:space="0" w:color="auto"/>
              <w:right w:val="single" w:sz="8" w:space="0" w:color="auto"/>
            </w:tcBorders>
            <w:shd w:val="clear" w:color="auto" w:fill="auto"/>
            <w:noWrap/>
            <w:vAlign w:val="center"/>
            <w:hideMark/>
          </w:tcPr>
          <w:p w14:paraId="28096AB8" w14:textId="77777777" w:rsidR="00AB05AB" w:rsidRPr="00AB05AB" w:rsidRDefault="00AB05AB" w:rsidP="00AB05AB">
            <w:pPr>
              <w:jc w:val="right"/>
              <w:rPr>
                <w:rFonts w:ascii="Arial" w:eastAsia="Times New Roman" w:hAnsi="Arial" w:cs="Arial"/>
                <w:b/>
                <w:bCs/>
                <w:color w:val="000000"/>
                <w:sz w:val="20"/>
                <w:szCs w:val="20"/>
                <w:lang w:eastAsia="en-CA"/>
              </w:rPr>
            </w:pPr>
            <w:r w:rsidRPr="00AB05AB">
              <w:rPr>
                <w:rFonts w:ascii="Arial" w:eastAsia="Times New Roman" w:hAnsi="Arial" w:cs="Arial"/>
                <w:b/>
                <w:bCs/>
                <w:color w:val="000000"/>
                <w:sz w:val="20"/>
                <w:szCs w:val="20"/>
                <w:lang w:eastAsia="en-CA"/>
              </w:rPr>
              <w:t>136,000 ounces</w:t>
            </w:r>
          </w:p>
        </w:tc>
        <w:tc>
          <w:tcPr>
            <w:tcW w:w="2060" w:type="dxa"/>
            <w:tcBorders>
              <w:top w:val="nil"/>
              <w:left w:val="nil"/>
              <w:bottom w:val="single" w:sz="8" w:space="0" w:color="auto"/>
              <w:right w:val="single" w:sz="8" w:space="0" w:color="auto"/>
            </w:tcBorders>
            <w:shd w:val="clear" w:color="auto" w:fill="auto"/>
            <w:noWrap/>
            <w:vAlign w:val="center"/>
            <w:hideMark/>
          </w:tcPr>
          <w:p w14:paraId="0C4FCBB2" w14:textId="77777777" w:rsidR="00AB05AB" w:rsidRPr="00AB05AB" w:rsidRDefault="00AB05AB" w:rsidP="00AB05AB">
            <w:pPr>
              <w:jc w:val="right"/>
              <w:rPr>
                <w:rFonts w:ascii="Arial" w:eastAsia="Times New Roman" w:hAnsi="Arial" w:cs="Arial"/>
                <w:b/>
                <w:bCs/>
                <w:color w:val="000000"/>
                <w:sz w:val="20"/>
                <w:szCs w:val="20"/>
                <w:lang w:eastAsia="en-CA"/>
              </w:rPr>
            </w:pPr>
            <w:r w:rsidRPr="00AB05AB">
              <w:rPr>
                <w:rFonts w:ascii="Arial" w:eastAsia="Times New Roman" w:hAnsi="Arial" w:cs="Arial"/>
                <w:b/>
                <w:bCs/>
                <w:color w:val="000000"/>
                <w:sz w:val="20"/>
                <w:szCs w:val="20"/>
                <w:lang w:eastAsia="en-CA"/>
              </w:rPr>
              <w:t>139,000 ounces</w:t>
            </w:r>
          </w:p>
        </w:tc>
      </w:tr>
      <w:tr w:rsidR="00AB05AB" w:rsidRPr="00AB05AB" w14:paraId="6A9737A3" w14:textId="77777777" w:rsidTr="00AB05AB">
        <w:trPr>
          <w:trHeight w:val="294"/>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14:paraId="58EBFC56" w14:textId="77777777" w:rsidR="00AB05AB" w:rsidRPr="00AB05AB" w:rsidRDefault="00AB05AB" w:rsidP="00AB05AB">
            <w:pPr>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Average annual gold production</w:t>
            </w:r>
          </w:p>
        </w:tc>
        <w:tc>
          <w:tcPr>
            <w:tcW w:w="2060" w:type="dxa"/>
            <w:tcBorders>
              <w:top w:val="nil"/>
              <w:left w:val="nil"/>
              <w:bottom w:val="single" w:sz="8" w:space="0" w:color="auto"/>
              <w:right w:val="single" w:sz="8" w:space="0" w:color="auto"/>
            </w:tcBorders>
            <w:shd w:val="clear" w:color="auto" w:fill="auto"/>
            <w:noWrap/>
            <w:vAlign w:val="center"/>
            <w:hideMark/>
          </w:tcPr>
          <w:p w14:paraId="703C4E79" w14:textId="77777777" w:rsidR="00AB05AB" w:rsidRPr="00AB05AB" w:rsidRDefault="00AB05AB" w:rsidP="00AB05AB">
            <w:pPr>
              <w:jc w:val="right"/>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 xml:space="preserve">82,000 ounces </w:t>
            </w:r>
          </w:p>
        </w:tc>
        <w:tc>
          <w:tcPr>
            <w:tcW w:w="2060" w:type="dxa"/>
            <w:tcBorders>
              <w:top w:val="nil"/>
              <w:left w:val="nil"/>
              <w:bottom w:val="single" w:sz="8" w:space="0" w:color="auto"/>
              <w:right w:val="single" w:sz="8" w:space="0" w:color="auto"/>
            </w:tcBorders>
            <w:shd w:val="clear" w:color="auto" w:fill="auto"/>
            <w:noWrap/>
            <w:vAlign w:val="center"/>
            <w:hideMark/>
          </w:tcPr>
          <w:p w14:paraId="549B72FD" w14:textId="77777777" w:rsidR="00AB05AB" w:rsidRPr="00AB05AB" w:rsidRDefault="00AB05AB" w:rsidP="00AB05AB">
            <w:pPr>
              <w:jc w:val="right"/>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 xml:space="preserve">107,000 ounces </w:t>
            </w:r>
          </w:p>
        </w:tc>
      </w:tr>
      <w:tr w:rsidR="00AB05AB" w:rsidRPr="00AB05AB" w14:paraId="7C17F527" w14:textId="77777777" w:rsidTr="00AB05AB">
        <w:trPr>
          <w:trHeight w:val="294"/>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14:paraId="463E5F5A" w14:textId="77777777" w:rsidR="00AB05AB" w:rsidRPr="00AB05AB" w:rsidRDefault="00AB05AB" w:rsidP="00AB05AB">
            <w:pPr>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Average annual copper production</w:t>
            </w:r>
          </w:p>
        </w:tc>
        <w:tc>
          <w:tcPr>
            <w:tcW w:w="2060" w:type="dxa"/>
            <w:tcBorders>
              <w:top w:val="nil"/>
              <w:left w:val="nil"/>
              <w:bottom w:val="single" w:sz="8" w:space="0" w:color="auto"/>
              <w:right w:val="single" w:sz="8" w:space="0" w:color="auto"/>
            </w:tcBorders>
            <w:shd w:val="clear" w:color="auto" w:fill="auto"/>
            <w:noWrap/>
            <w:vAlign w:val="center"/>
            <w:hideMark/>
          </w:tcPr>
          <w:p w14:paraId="61DCD231" w14:textId="77777777" w:rsidR="00AB05AB" w:rsidRPr="00AB05AB" w:rsidRDefault="00AB05AB" w:rsidP="00AB05AB">
            <w:pPr>
              <w:jc w:val="right"/>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23.2 million pounds</w:t>
            </w:r>
          </w:p>
        </w:tc>
        <w:tc>
          <w:tcPr>
            <w:tcW w:w="2060" w:type="dxa"/>
            <w:tcBorders>
              <w:top w:val="nil"/>
              <w:left w:val="nil"/>
              <w:bottom w:val="single" w:sz="8" w:space="0" w:color="auto"/>
              <w:right w:val="single" w:sz="8" w:space="0" w:color="auto"/>
            </w:tcBorders>
            <w:shd w:val="clear" w:color="auto" w:fill="auto"/>
            <w:noWrap/>
            <w:vAlign w:val="center"/>
            <w:hideMark/>
          </w:tcPr>
          <w:p w14:paraId="6F787B1D" w14:textId="77777777" w:rsidR="00AB05AB" w:rsidRPr="00AB05AB" w:rsidRDefault="00AB05AB" w:rsidP="00AB05AB">
            <w:pPr>
              <w:jc w:val="right"/>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14.0 million pounds</w:t>
            </w:r>
          </w:p>
        </w:tc>
      </w:tr>
      <w:tr w:rsidR="00AB05AB" w:rsidRPr="00AB05AB" w14:paraId="2EF1C195" w14:textId="77777777" w:rsidTr="00AB05AB">
        <w:trPr>
          <w:trHeight w:val="294"/>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14:paraId="3E24CF7B" w14:textId="77777777" w:rsidR="00AB05AB" w:rsidRPr="00AB05AB" w:rsidRDefault="00AB05AB" w:rsidP="00AB05AB">
            <w:pPr>
              <w:rPr>
                <w:rFonts w:ascii="Arial" w:eastAsia="Times New Roman" w:hAnsi="Arial" w:cs="Arial"/>
                <w:b/>
                <w:bCs/>
                <w:color w:val="000000"/>
                <w:sz w:val="20"/>
                <w:szCs w:val="20"/>
                <w:lang w:eastAsia="en-CA"/>
              </w:rPr>
            </w:pPr>
            <w:r w:rsidRPr="00AB05AB">
              <w:rPr>
                <w:rFonts w:ascii="Arial" w:eastAsia="Times New Roman" w:hAnsi="Arial" w:cs="Arial"/>
                <w:b/>
                <w:bCs/>
                <w:color w:val="000000"/>
                <w:sz w:val="20"/>
                <w:szCs w:val="20"/>
                <w:lang w:eastAsia="en-CA"/>
              </w:rPr>
              <w:t>All-in sustaining costs</w:t>
            </w:r>
          </w:p>
        </w:tc>
        <w:tc>
          <w:tcPr>
            <w:tcW w:w="2060" w:type="dxa"/>
            <w:tcBorders>
              <w:top w:val="nil"/>
              <w:left w:val="nil"/>
              <w:bottom w:val="single" w:sz="8" w:space="0" w:color="auto"/>
              <w:right w:val="single" w:sz="8" w:space="0" w:color="auto"/>
            </w:tcBorders>
            <w:shd w:val="clear" w:color="auto" w:fill="auto"/>
            <w:noWrap/>
            <w:vAlign w:val="center"/>
            <w:hideMark/>
          </w:tcPr>
          <w:p w14:paraId="25387455" w14:textId="77777777" w:rsidR="00AB05AB" w:rsidRPr="00AB05AB" w:rsidRDefault="00AB05AB" w:rsidP="00AB05AB">
            <w:pPr>
              <w:jc w:val="right"/>
              <w:rPr>
                <w:rFonts w:ascii="Arial" w:eastAsia="Times New Roman" w:hAnsi="Arial" w:cs="Arial"/>
                <w:b/>
                <w:bCs/>
                <w:color w:val="000000"/>
                <w:sz w:val="20"/>
                <w:szCs w:val="20"/>
                <w:lang w:eastAsia="en-CA"/>
              </w:rPr>
            </w:pPr>
            <w:r w:rsidRPr="00AB05AB">
              <w:rPr>
                <w:rFonts w:ascii="Arial" w:eastAsia="Times New Roman" w:hAnsi="Arial" w:cs="Arial"/>
                <w:b/>
                <w:bCs/>
                <w:color w:val="000000"/>
                <w:sz w:val="20"/>
                <w:szCs w:val="20"/>
                <w:lang w:eastAsia="en-CA"/>
              </w:rPr>
              <w:t>$787/oz Au eq</w:t>
            </w:r>
          </w:p>
        </w:tc>
        <w:tc>
          <w:tcPr>
            <w:tcW w:w="2060" w:type="dxa"/>
            <w:tcBorders>
              <w:top w:val="nil"/>
              <w:left w:val="nil"/>
              <w:bottom w:val="single" w:sz="8" w:space="0" w:color="auto"/>
              <w:right w:val="single" w:sz="8" w:space="0" w:color="auto"/>
            </w:tcBorders>
            <w:shd w:val="clear" w:color="auto" w:fill="auto"/>
            <w:noWrap/>
            <w:vAlign w:val="center"/>
            <w:hideMark/>
          </w:tcPr>
          <w:p w14:paraId="01D3A1C5" w14:textId="77777777" w:rsidR="00AB05AB" w:rsidRPr="00AB05AB" w:rsidRDefault="00AB05AB" w:rsidP="00AB05AB">
            <w:pPr>
              <w:jc w:val="right"/>
              <w:rPr>
                <w:rFonts w:ascii="Arial" w:eastAsia="Times New Roman" w:hAnsi="Arial" w:cs="Arial"/>
                <w:b/>
                <w:bCs/>
                <w:color w:val="000000"/>
                <w:sz w:val="20"/>
                <w:szCs w:val="20"/>
                <w:lang w:eastAsia="en-CA"/>
              </w:rPr>
            </w:pPr>
            <w:r w:rsidRPr="00AB05AB">
              <w:rPr>
                <w:rFonts w:ascii="Arial" w:eastAsia="Times New Roman" w:hAnsi="Arial" w:cs="Arial"/>
                <w:b/>
                <w:bCs/>
                <w:color w:val="000000"/>
                <w:sz w:val="20"/>
                <w:szCs w:val="20"/>
                <w:lang w:eastAsia="en-CA"/>
              </w:rPr>
              <w:t>$823/oz Au eq</w:t>
            </w:r>
          </w:p>
        </w:tc>
      </w:tr>
      <w:tr w:rsidR="00AB05AB" w:rsidRPr="00AB05AB" w14:paraId="3DFAE5F0" w14:textId="77777777" w:rsidTr="00AB05AB">
        <w:trPr>
          <w:trHeight w:val="294"/>
        </w:trPr>
        <w:tc>
          <w:tcPr>
            <w:tcW w:w="4300" w:type="dxa"/>
            <w:tcBorders>
              <w:top w:val="nil"/>
              <w:left w:val="single" w:sz="8" w:space="0" w:color="auto"/>
              <w:bottom w:val="single" w:sz="8" w:space="0" w:color="auto"/>
              <w:right w:val="single" w:sz="8" w:space="0" w:color="auto"/>
            </w:tcBorders>
            <w:shd w:val="clear" w:color="auto" w:fill="auto"/>
            <w:noWrap/>
            <w:hideMark/>
          </w:tcPr>
          <w:p w14:paraId="0B9C41C2" w14:textId="77777777" w:rsidR="00AB05AB" w:rsidRPr="00AB05AB" w:rsidRDefault="00AB05AB" w:rsidP="00AB05AB">
            <w:pPr>
              <w:rPr>
                <w:rFonts w:eastAsia="Times New Roman" w:cs="Calibri"/>
                <w:color w:val="000000"/>
                <w:sz w:val="20"/>
                <w:szCs w:val="20"/>
                <w:lang w:eastAsia="en-CA"/>
              </w:rPr>
            </w:pPr>
            <w:r w:rsidRPr="00AB05AB">
              <w:rPr>
                <w:rFonts w:eastAsia="Times New Roman" w:cs="Calibri"/>
                <w:color w:val="000000"/>
                <w:sz w:val="20"/>
                <w:szCs w:val="20"/>
                <w:lang w:eastAsia="en-CA"/>
              </w:rPr>
              <w:t> </w:t>
            </w:r>
          </w:p>
        </w:tc>
        <w:tc>
          <w:tcPr>
            <w:tcW w:w="2060" w:type="dxa"/>
            <w:tcBorders>
              <w:top w:val="nil"/>
              <w:left w:val="nil"/>
              <w:bottom w:val="single" w:sz="8" w:space="0" w:color="auto"/>
              <w:right w:val="single" w:sz="8" w:space="0" w:color="auto"/>
            </w:tcBorders>
            <w:shd w:val="clear" w:color="auto" w:fill="auto"/>
            <w:noWrap/>
            <w:vAlign w:val="center"/>
            <w:hideMark/>
          </w:tcPr>
          <w:p w14:paraId="049364AE" w14:textId="77777777" w:rsidR="00AB05AB" w:rsidRPr="00AB05AB" w:rsidRDefault="00AB05AB" w:rsidP="00AB05AB">
            <w:pPr>
              <w:jc w:val="right"/>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 </w:t>
            </w:r>
          </w:p>
        </w:tc>
        <w:tc>
          <w:tcPr>
            <w:tcW w:w="2060" w:type="dxa"/>
            <w:tcBorders>
              <w:top w:val="nil"/>
              <w:left w:val="nil"/>
              <w:bottom w:val="single" w:sz="8" w:space="0" w:color="auto"/>
              <w:right w:val="single" w:sz="8" w:space="0" w:color="auto"/>
            </w:tcBorders>
            <w:shd w:val="clear" w:color="auto" w:fill="auto"/>
            <w:noWrap/>
            <w:vAlign w:val="center"/>
            <w:hideMark/>
          </w:tcPr>
          <w:p w14:paraId="258A1957" w14:textId="77777777" w:rsidR="00AB05AB" w:rsidRPr="00AB05AB" w:rsidRDefault="00AB05AB" w:rsidP="00AB05AB">
            <w:pPr>
              <w:jc w:val="both"/>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 </w:t>
            </w:r>
          </w:p>
        </w:tc>
      </w:tr>
      <w:tr w:rsidR="00AB05AB" w:rsidRPr="00AB05AB" w14:paraId="463F35B3" w14:textId="77777777" w:rsidTr="00AB05AB">
        <w:trPr>
          <w:trHeight w:val="294"/>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14:paraId="5D53FF07" w14:textId="77777777" w:rsidR="00AB05AB" w:rsidRPr="00AB05AB" w:rsidRDefault="00AB05AB" w:rsidP="00AB05AB">
            <w:pPr>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Pre-strip Capital</w:t>
            </w:r>
          </w:p>
        </w:tc>
        <w:tc>
          <w:tcPr>
            <w:tcW w:w="2060" w:type="dxa"/>
            <w:tcBorders>
              <w:top w:val="nil"/>
              <w:left w:val="nil"/>
              <w:bottom w:val="single" w:sz="8" w:space="0" w:color="auto"/>
              <w:right w:val="single" w:sz="8" w:space="0" w:color="auto"/>
            </w:tcBorders>
            <w:shd w:val="clear" w:color="auto" w:fill="auto"/>
            <w:noWrap/>
            <w:vAlign w:val="center"/>
            <w:hideMark/>
          </w:tcPr>
          <w:p w14:paraId="7A6B9D62" w14:textId="77777777" w:rsidR="00AB05AB" w:rsidRPr="00AB05AB" w:rsidRDefault="00AB05AB" w:rsidP="00AB05AB">
            <w:pPr>
              <w:jc w:val="right"/>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$14.1 million</w:t>
            </w:r>
          </w:p>
        </w:tc>
        <w:tc>
          <w:tcPr>
            <w:tcW w:w="2060" w:type="dxa"/>
            <w:tcBorders>
              <w:top w:val="nil"/>
              <w:left w:val="nil"/>
              <w:bottom w:val="single" w:sz="8" w:space="0" w:color="auto"/>
              <w:right w:val="single" w:sz="8" w:space="0" w:color="auto"/>
            </w:tcBorders>
            <w:shd w:val="clear" w:color="auto" w:fill="auto"/>
            <w:noWrap/>
            <w:vAlign w:val="center"/>
            <w:hideMark/>
          </w:tcPr>
          <w:p w14:paraId="0D81C3BF" w14:textId="77777777" w:rsidR="00AB05AB" w:rsidRPr="00AB05AB" w:rsidRDefault="00AB05AB" w:rsidP="00AB05AB">
            <w:pPr>
              <w:jc w:val="both"/>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 </w:t>
            </w:r>
          </w:p>
        </w:tc>
      </w:tr>
      <w:tr w:rsidR="00AB05AB" w:rsidRPr="00AB05AB" w14:paraId="5D226A6D" w14:textId="77777777" w:rsidTr="00AB05AB">
        <w:trPr>
          <w:trHeight w:val="294"/>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14:paraId="01FC0087" w14:textId="77777777" w:rsidR="00AB05AB" w:rsidRPr="00AB05AB" w:rsidRDefault="00AB05AB" w:rsidP="00AB05AB">
            <w:pPr>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Initial Capital</w:t>
            </w:r>
          </w:p>
        </w:tc>
        <w:tc>
          <w:tcPr>
            <w:tcW w:w="2060" w:type="dxa"/>
            <w:tcBorders>
              <w:top w:val="nil"/>
              <w:left w:val="nil"/>
              <w:bottom w:val="single" w:sz="8" w:space="0" w:color="auto"/>
              <w:right w:val="single" w:sz="8" w:space="0" w:color="auto"/>
            </w:tcBorders>
            <w:shd w:val="clear" w:color="auto" w:fill="auto"/>
            <w:noWrap/>
            <w:vAlign w:val="center"/>
            <w:hideMark/>
          </w:tcPr>
          <w:p w14:paraId="3BACEF1E" w14:textId="77777777" w:rsidR="00AB05AB" w:rsidRPr="00AB05AB" w:rsidRDefault="00AB05AB" w:rsidP="00AB05AB">
            <w:pPr>
              <w:jc w:val="right"/>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$447.7 million</w:t>
            </w:r>
          </w:p>
        </w:tc>
        <w:tc>
          <w:tcPr>
            <w:tcW w:w="2060" w:type="dxa"/>
            <w:tcBorders>
              <w:top w:val="nil"/>
              <w:left w:val="nil"/>
              <w:bottom w:val="single" w:sz="8" w:space="0" w:color="auto"/>
              <w:right w:val="single" w:sz="8" w:space="0" w:color="auto"/>
            </w:tcBorders>
            <w:shd w:val="clear" w:color="auto" w:fill="auto"/>
            <w:noWrap/>
            <w:vAlign w:val="center"/>
            <w:hideMark/>
          </w:tcPr>
          <w:p w14:paraId="745E34F4" w14:textId="77777777" w:rsidR="00AB05AB" w:rsidRPr="00AB05AB" w:rsidRDefault="00AB05AB" w:rsidP="00AB05AB">
            <w:pPr>
              <w:jc w:val="both"/>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 </w:t>
            </w:r>
          </w:p>
        </w:tc>
      </w:tr>
      <w:tr w:rsidR="00AB05AB" w:rsidRPr="00AB05AB" w14:paraId="3423AAD4" w14:textId="77777777" w:rsidTr="00AB05AB">
        <w:trPr>
          <w:trHeight w:val="294"/>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14:paraId="0C59C61F" w14:textId="77777777" w:rsidR="00AB05AB" w:rsidRPr="00AB05AB" w:rsidRDefault="00AB05AB" w:rsidP="00AB05AB">
            <w:pPr>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Sustaining Capital</w:t>
            </w:r>
          </w:p>
        </w:tc>
        <w:tc>
          <w:tcPr>
            <w:tcW w:w="2060" w:type="dxa"/>
            <w:tcBorders>
              <w:top w:val="nil"/>
              <w:left w:val="nil"/>
              <w:bottom w:val="single" w:sz="8" w:space="0" w:color="auto"/>
              <w:right w:val="single" w:sz="8" w:space="0" w:color="auto"/>
            </w:tcBorders>
            <w:shd w:val="clear" w:color="auto" w:fill="auto"/>
            <w:noWrap/>
            <w:vAlign w:val="center"/>
            <w:hideMark/>
          </w:tcPr>
          <w:p w14:paraId="6B1243AA" w14:textId="77777777" w:rsidR="00AB05AB" w:rsidRPr="00AB05AB" w:rsidRDefault="00AB05AB" w:rsidP="00AB05AB">
            <w:pPr>
              <w:jc w:val="right"/>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$68.3 million</w:t>
            </w:r>
          </w:p>
        </w:tc>
        <w:tc>
          <w:tcPr>
            <w:tcW w:w="2060" w:type="dxa"/>
            <w:tcBorders>
              <w:top w:val="nil"/>
              <w:left w:val="nil"/>
              <w:bottom w:val="single" w:sz="8" w:space="0" w:color="auto"/>
              <w:right w:val="single" w:sz="8" w:space="0" w:color="auto"/>
            </w:tcBorders>
            <w:shd w:val="clear" w:color="auto" w:fill="auto"/>
            <w:noWrap/>
            <w:vAlign w:val="center"/>
            <w:hideMark/>
          </w:tcPr>
          <w:p w14:paraId="36BAB7A3" w14:textId="77777777" w:rsidR="00AB05AB" w:rsidRPr="00AB05AB" w:rsidRDefault="00AB05AB" w:rsidP="00AB05AB">
            <w:pPr>
              <w:jc w:val="both"/>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 </w:t>
            </w:r>
          </w:p>
        </w:tc>
      </w:tr>
      <w:tr w:rsidR="00AB05AB" w:rsidRPr="00AB05AB" w14:paraId="269491BE" w14:textId="77777777" w:rsidTr="00AB05AB">
        <w:trPr>
          <w:trHeight w:val="294"/>
        </w:trPr>
        <w:tc>
          <w:tcPr>
            <w:tcW w:w="4300" w:type="dxa"/>
            <w:tcBorders>
              <w:top w:val="nil"/>
              <w:left w:val="single" w:sz="8" w:space="0" w:color="auto"/>
              <w:bottom w:val="single" w:sz="8" w:space="0" w:color="auto"/>
              <w:right w:val="single" w:sz="8" w:space="0" w:color="auto"/>
            </w:tcBorders>
            <w:shd w:val="clear" w:color="auto" w:fill="auto"/>
            <w:noWrap/>
            <w:hideMark/>
          </w:tcPr>
          <w:p w14:paraId="575D4CD9" w14:textId="77777777" w:rsidR="00AB05AB" w:rsidRPr="00AB05AB" w:rsidRDefault="00AB05AB" w:rsidP="00AB05AB">
            <w:pPr>
              <w:rPr>
                <w:rFonts w:eastAsia="Times New Roman" w:cs="Calibri"/>
                <w:color w:val="000000"/>
                <w:sz w:val="20"/>
                <w:szCs w:val="20"/>
                <w:lang w:eastAsia="en-CA"/>
              </w:rPr>
            </w:pPr>
            <w:r w:rsidRPr="00AB05AB">
              <w:rPr>
                <w:rFonts w:eastAsia="Times New Roman" w:cs="Calibri"/>
                <w:color w:val="000000"/>
                <w:sz w:val="20"/>
                <w:szCs w:val="20"/>
                <w:lang w:eastAsia="en-CA"/>
              </w:rPr>
              <w:t> </w:t>
            </w:r>
          </w:p>
        </w:tc>
        <w:tc>
          <w:tcPr>
            <w:tcW w:w="2060" w:type="dxa"/>
            <w:tcBorders>
              <w:top w:val="nil"/>
              <w:left w:val="nil"/>
              <w:bottom w:val="single" w:sz="8" w:space="0" w:color="auto"/>
              <w:right w:val="single" w:sz="8" w:space="0" w:color="auto"/>
            </w:tcBorders>
            <w:shd w:val="clear" w:color="auto" w:fill="auto"/>
            <w:noWrap/>
            <w:vAlign w:val="center"/>
            <w:hideMark/>
          </w:tcPr>
          <w:p w14:paraId="315A05C3" w14:textId="77777777" w:rsidR="00AB05AB" w:rsidRPr="00AB05AB" w:rsidRDefault="00AB05AB" w:rsidP="00AB05AB">
            <w:pPr>
              <w:jc w:val="right"/>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 </w:t>
            </w:r>
          </w:p>
        </w:tc>
        <w:tc>
          <w:tcPr>
            <w:tcW w:w="2060" w:type="dxa"/>
            <w:tcBorders>
              <w:top w:val="nil"/>
              <w:left w:val="nil"/>
              <w:bottom w:val="single" w:sz="8" w:space="0" w:color="auto"/>
              <w:right w:val="single" w:sz="8" w:space="0" w:color="auto"/>
            </w:tcBorders>
            <w:shd w:val="clear" w:color="auto" w:fill="auto"/>
            <w:noWrap/>
            <w:vAlign w:val="center"/>
            <w:hideMark/>
          </w:tcPr>
          <w:p w14:paraId="659BD704" w14:textId="77777777" w:rsidR="00AB05AB" w:rsidRPr="00AB05AB" w:rsidRDefault="00AB05AB" w:rsidP="00AB05AB">
            <w:pPr>
              <w:jc w:val="both"/>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 </w:t>
            </w:r>
          </w:p>
        </w:tc>
      </w:tr>
      <w:tr w:rsidR="00AB05AB" w:rsidRPr="00AB05AB" w14:paraId="0CA359E8" w14:textId="77777777" w:rsidTr="00AB05AB">
        <w:trPr>
          <w:trHeight w:val="294"/>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14:paraId="2CA7DEF8" w14:textId="77777777" w:rsidR="00AB05AB" w:rsidRPr="00AB05AB" w:rsidRDefault="00AB05AB" w:rsidP="00AB05AB">
            <w:pPr>
              <w:rPr>
                <w:rFonts w:ascii="Arial" w:eastAsia="Times New Roman" w:hAnsi="Arial" w:cs="Arial"/>
                <w:b/>
                <w:bCs/>
                <w:color w:val="000000"/>
                <w:sz w:val="20"/>
                <w:szCs w:val="20"/>
                <w:lang w:eastAsia="en-CA"/>
              </w:rPr>
            </w:pPr>
            <w:r w:rsidRPr="00AB05AB">
              <w:rPr>
                <w:rFonts w:ascii="Arial" w:eastAsia="Times New Roman" w:hAnsi="Arial" w:cs="Arial"/>
                <w:b/>
                <w:bCs/>
                <w:color w:val="000000"/>
                <w:sz w:val="20"/>
                <w:szCs w:val="20"/>
                <w:lang w:eastAsia="en-CA"/>
              </w:rPr>
              <w:t>Pre-Tax NPV (5% discount rate)</w:t>
            </w:r>
          </w:p>
        </w:tc>
        <w:tc>
          <w:tcPr>
            <w:tcW w:w="2060" w:type="dxa"/>
            <w:tcBorders>
              <w:top w:val="nil"/>
              <w:left w:val="nil"/>
              <w:bottom w:val="single" w:sz="8" w:space="0" w:color="auto"/>
              <w:right w:val="single" w:sz="8" w:space="0" w:color="auto"/>
            </w:tcBorders>
            <w:shd w:val="clear" w:color="auto" w:fill="auto"/>
            <w:noWrap/>
            <w:vAlign w:val="center"/>
            <w:hideMark/>
          </w:tcPr>
          <w:p w14:paraId="3F21ABBB" w14:textId="77777777" w:rsidR="00AB05AB" w:rsidRPr="00AB05AB" w:rsidRDefault="00AB05AB" w:rsidP="00AB05AB">
            <w:pPr>
              <w:jc w:val="right"/>
              <w:rPr>
                <w:rFonts w:ascii="Arial" w:eastAsia="Times New Roman" w:hAnsi="Arial" w:cs="Arial"/>
                <w:b/>
                <w:bCs/>
                <w:color w:val="000000"/>
                <w:sz w:val="20"/>
                <w:szCs w:val="20"/>
                <w:lang w:eastAsia="en-CA"/>
              </w:rPr>
            </w:pPr>
            <w:r w:rsidRPr="00AB05AB">
              <w:rPr>
                <w:rFonts w:ascii="Arial" w:eastAsia="Times New Roman" w:hAnsi="Arial" w:cs="Arial"/>
                <w:b/>
                <w:bCs/>
                <w:color w:val="000000"/>
                <w:sz w:val="20"/>
                <w:szCs w:val="20"/>
                <w:lang w:eastAsia="en-CA"/>
              </w:rPr>
              <w:t>$630 million</w:t>
            </w:r>
          </w:p>
        </w:tc>
        <w:tc>
          <w:tcPr>
            <w:tcW w:w="2060" w:type="dxa"/>
            <w:tcBorders>
              <w:top w:val="nil"/>
              <w:left w:val="nil"/>
              <w:bottom w:val="single" w:sz="8" w:space="0" w:color="auto"/>
              <w:right w:val="single" w:sz="8" w:space="0" w:color="auto"/>
            </w:tcBorders>
            <w:shd w:val="clear" w:color="auto" w:fill="auto"/>
            <w:noWrap/>
            <w:vAlign w:val="center"/>
            <w:hideMark/>
          </w:tcPr>
          <w:p w14:paraId="09C60465" w14:textId="77777777" w:rsidR="00AB05AB" w:rsidRPr="00AB05AB" w:rsidRDefault="00AB05AB" w:rsidP="00AB05AB">
            <w:pPr>
              <w:jc w:val="both"/>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 </w:t>
            </w:r>
          </w:p>
        </w:tc>
      </w:tr>
      <w:tr w:rsidR="00AB05AB" w:rsidRPr="00AB05AB" w14:paraId="774EB43C" w14:textId="77777777" w:rsidTr="00AB05AB">
        <w:trPr>
          <w:trHeight w:val="294"/>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14:paraId="71BCCA22" w14:textId="77777777" w:rsidR="00AB05AB" w:rsidRPr="00AB05AB" w:rsidRDefault="00AB05AB" w:rsidP="00AB05AB">
            <w:pPr>
              <w:rPr>
                <w:rFonts w:ascii="Arial" w:eastAsia="Times New Roman" w:hAnsi="Arial" w:cs="Arial"/>
                <w:b/>
                <w:bCs/>
                <w:color w:val="000000"/>
                <w:sz w:val="20"/>
                <w:szCs w:val="20"/>
                <w:lang w:eastAsia="en-CA"/>
              </w:rPr>
            </w:pPr>
            <w:r w:rsidRPr="00AB05AB">
              <w:rPr>
                <w:rFonts w:ascii="Arial" w:eastAsia="Times New Roman" w:hAnsi="Arial" w:cs="Arial"/>
                <w:b/>
                <w:bCs/>
                <w:color w:val="000000"/>
                <w:sz w:val="20"/>
                <w:szCs w:val="20"/>
                <w:lang w:eastAsia="en-CA"/>
              </w:rPr>
              <w:t>Pre-Tax IRR</w:t>
            </w:r>
          </w:p>
        </w:tc>
        <w:tc>
          <w:tcPr>
            <w:tcW w:w="2060" w:type="dxa"/>
            <w:tcBorders>
              <w:top w:val="nil"/>
              <w:left w:val="nil"/>
              <w:bottom w:val="single" w:sz="8" w:space="0" w:color="auto"/>
              <w:right w:val="single" w:sz="8" w:space="0" w:color="auto"/>
            </w:tcBorders>
            <w:shd w:val="clear" w:color="auto" w:fill="auto"/>
            <w:noWrap/>
            <w:vAlign w:val="center"/>
            <w:hideMark/>
          </w:tcPr>
          <w:p w14:paraId="72A364AC" w14:textId="77777777" w:rsidR="00AB05AB" w:rsidRPr="00AB05AB" w:rsidRDefault="00AB05AB" w:rsidP="00AB05AB">
            <w:pPr>
              <w:jc w:val="right"/>
              <w:rPr>
                <w:rFonts w:ascii="Arial" w:eastAsia="Times New Roman" w:hAnsi="Arial" w:cs="Arial"/>
                <w:b/>
                <w:bCs/>
                <w:color w:val="000000"/>
                <w:sz w:val="20"/>
                <w:szCs w:val="20"/>
                <w:lang w:eastAsia="en-CA"/>
              </w:rPr>
            </w:pPr>
            <w:r w:rsidRPr="00AB05AB">
              <w:rPr>
                <w:rFonts w:ascii="Arial" w:eastAsia="Times New Roman" w:hAnsi="Arial" w:cs="Arial"/>
                <w:b/>
                <w:bCs/>
                <w:color w:val="000000"/>
                <w:sz w:val="20"/>
                <w:szCs w:val="20"/>
                <w:lang w:eastAsia="en-CA"/>
              </w:rPr>
              <w:t>22.7%</w:t>
            </w:r>
          </w:p>
        </w:tc>
        <w:tc>
          <w:tcPr>
            <w:tcW w:w="2060" w:type="dxa"/>
            <w:tcBorders>
              <w:top w:val="nil"/>
              <w:left w:val="nil"/>
              <w:bottom w:val="single" w:sz="8" w:space="0" w:color="auto"/>
              <w:right w:val="single" w:sz="8" w:space="0" w:color="auto"/>
            </w:tcBorders>
            <w:shd w:val="clear" w:color="auto" w:fill="auto"/>
            <w:noWrap/>
            <w:vAlign w:val="center"/>
            <w:hideMark/>
          </w:tcPr>
          <w:p w14:paraId="015A111A" w14:textId="77777777" w:rsidR="00AB05AB" w:rsidRPr="00AB05AB" w:rsidRDefault="00AB05AB" w:rsidP="00AB05AB">
            <w:pPr>
              <w:jc w:val="both"/>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 </w:t>
            </w:r>
          </w:p>
        </w:tc>
      </w:tr>
      <w:tr w:rsidR="00AB05AB" w:rsidRPr="00AB05AB" w14:paraId="46DB0073" w14:textId="77777777" w:rsidTr="00AB05AB">
        <w:trPr>
          <w:trHeight w:val="294"/>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14:paraId="21655EEE" w14:textId="77777777" w:rsidR="00AB05AB" w:rsidRPr="00AB05AB" w:rsidRDefault="00AB05AB" w:rsidP="00AB05AB">
            <w:pPr>
              <w:rPr>
                <w:rFonts w:ascii="Arial" w:eastAsia="Times New Roman" w:hAnsi="Arial" w:cs="Arial"/>
                <w:b/>
                <w:bCs/>
                <w:color w:val="000000"/>
                <w:sz w:val="20"/>
                <w:szCs w:val="20"/>
                <w:lang w:eastAsia="en-CA"/>
              </w:rPr>
            </w:pPr>
            <w:r w:rsidRPr="00AB05AB">
              <w:rPr>
                <w:rFonts w:ascii="Arial" w:eastAsia="Times New Roman" w:hAnsi="Arial" w:cs="Arial"/>
                <w:b/>
                <w:bCs/>
                <w:color w:val="000000"/>
                <w:sz w:val="20"/>
                <w:szCs w:val="20"/>
                <w:lang w:eastAsia="en-CA"/>
              </w:rPr>
              <w:t>Post-Tax NPV (5% discount rate)</w:t>
            </w:r>
          </w:p>
        </w:tc>
        <w:tc>
          <w:tcPr>
            <w:tcW w:w="2060" w:type="dxa"/>
            <w:tcBorders>
              <w:top w:val="nil"/>
              <w:left w:val="nil"/>
              <w:bottom w:val="single" w:sz="8" w:space="0" w:color="auto"/>
              <w:right w:val="single" w:sz="8" w:space="0" w:color="auto"/>
            </w:tcBorders>
            <w:shd w:val="clear" w:color="auto" w:fill="auto"/>
            <w:noWrap/>
            <w:vAlign w:val="center"/>
            <w:hideMark/>
          </w:tcPr>
          <w:p w14:paraId="48F79C83" w14:textId="77777777" w:rsidR="00AB05AB" w:rsidRPr="00AB05AB" w:rsidRDefault="00AB05AB" w:rsidP="00AB05AB">
            <w:pPr>
              <w:jc w:val="right"/>
              <w:rPr>
                <w:rFonts w:ascii="Arial" w:eastAsia="Times New Roman" w:hAnsi="Arial" w:cs="Arial"/>
                <w:b/>
                <w:bCs/>
                <w:color w:val="000000"/>
                <w:sz w:val="20"/>
                <w:szCs w:val="20"/>
                <w:lang w:eastAsia="en-CA"/>
              </w:rPr>
            </w:pPr>
            <w:r w:rsidRPr="00AB05AB">
              <w:rPr>
                <w:rFonts w:ascii="Arial" w:eastAsia="Times New Roman" w:hAnsi="Arial" w:cs="Arial"/>
                <w:b/>
                <w:bCs/>
                <w:color w:val="000000"/>
                <w:sz w:val="20"/>
                <w:szCs w:val="20"/>
                <w:lang w:eastAsia="en-CA"/>
              </w:rPr>
              <w:t>$512 million</w:t>
            </w:r>
          </w:p>
        </w:tc>
        <w:tc>
          <w:tcPr>
            <w:tcW w:w="2060" w:type="dxa"/>
            <w:tcBorders>
              <w:top w:val="nil"/>
              <w:left w:val="nil"/>
              <w:bottom w:val="single" w:sz="8" w:space="0" w:color="auto"/>
              <w:right w:val="single" w:sz="8" w:space="0" w:color="auto"/>
            </w:tcBorders>
            <w:shd w:val="clear" w:color="auto" w:fill="auto"/>
            <w:noWrap/>
            <w:vAlign w:val="center"/>
            <w:hideMark/>
          </w:tcPr>
          <w:p w14:paraId="5E3C3570" w14:textId="77777777" w:rsidR="00AB05AB" w:rsidRPr="00AB05AB" w:rsidRDefault="00AB05AB" w:rsidP="00AB05AB">
            <w:pPr>
              <w:jc w:val="both"/>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 </w:t>
            </w:r>
          </w:p>
        </w:tc>
      </w:tr>
      <w:tr w:rsidR="00AB05AB" w:rsidRPr="00AB05AB" w14:paraId="65781D58" w14:textId="77777777" w:rsidTr="00AB05AB">
        <w:trPr>
          <w:trHeight w:val="294"/>
        </w:trPr>
        <w:tc>
          <w:tcPr>
            <w:tcW w:w="4300" w:type="dxa"/>
            <w:tcBorders>
              <w:top w:val="nil"/>
              <w:left w:val="single" w:sz="8" w:space="0" w:color="auto"/>
              <w:bottom w:val="single" w:sz="8" w:space="0" w:color="auto"/>
              <w:right w:val="single" w:sz="8" w:space="0" w:color="auto"/>
            </w:tcBorders>
            <w:shd w:val="clear" w:color="auto" w:fill="auto"/>
            <w:noWrap/>
            <w:vAlign w:val="center"/>
            <w:hideMark/>
          </w:tcPr>
          <w:p w14:paraId="5AAD11CB" w14:textId="77777777" w:rsidR="00AB05AB" w:rsidRPr="00AB05AB" w:rsidRDefault="00AB05AB" w:rsidP="00AB05AB">
            <w:pPr>
              <w:rPr>
                <w:rFonts w:ascii="Arial" w:eastAsia="Times New Roman" w:hAnsi="Arial" w:cs="Arial"/>
                <w:b/>
                <w:bCs/>
                <w:color w:val="000000"/>
                <w:sz w:val="20"/>
                <w:szCs w:val="20"/>
                <w:lang w:eastAsia="en-CA"/>
              </w:rPr>
            </w:pPr>
            <w:r w:rsidRPr="00AB05AB">
              <w:rPr>
                <w:rFonts w:ascii="Arial" w:eastAsia="Times New Roman" w:hAnsi="Arial" w:cs="Arial"/>
                <w:b/>
                <w:bCs/>
                <w:color w:val="000000"/>
                <w:sz w:val="20"/>
                <w:szCs w:val="20"/>
                <w:lang w:eastAsia="en-CA"/>
              </w:rPr>
              <w:t>Post-Tax IRR</w:t>
            </w:r>
          </w:p>
        </w:tc>
        <w:tc>
          <w:tcPr>
            <w:tcW w:w="2060" w:type="dxa"/>
            <w:tcBorders>
              <w:top w:val="nil"/>
              <w:left w:val="nil"/>
              <w:bottom w:val="single" w:sz="8" w:space="0" w:color="auto"/>
              <w:right w:val="single" w:sz="8" w:space="0" w:color="auto"/>
            </w:tcBorders>
            <w:shd w:val="clear" w:color="auto" w:fill="auto"/>
            <w:noWrap/>
            <w:vAlign w:val="center"/>
            <w:hideMark/>
          </w:tcPr>
          <w:p w14:paraId="3C9086AB" w14:textId="77777777" w:rsidR="00AB05AB" w:rsidRPr="00AB05AB" w:rsidRDefault="00AB05AB" w:rsidP="00AB05AB">
            <w:pPr>
              <w:jc w:val="right"/>
              <w:rPr>
                <w:rFonts w:ascii="Arial" w:eastAsia="Times New Roman" w:hAnsi="Arial" w:cs="Arial"/>
                <w:b/>
                <w:bCs/>
                <w:color w:val="000000"/>
                <w:sz w:val="20"/>
                <w:szCs w:val="20"/>
                <w:lang w:eastAsia="en-CA"/>
              </w:rPr>
            </w:pPr>
            <w:r w:rsidRPr="00AB05AB">
              <w:rPr>
                <w:rFonts w:ascii="Arial" w:eastAsia="Times New Roman" w:hAnsi="Arial" w:cs="Arial"/>
                <w:b/>
                <w:bCs/>
                <w:color w:val="000000"/>
                <w:sz w:val="20"/>
                <w:szCs w:val="20"/>
                <w:lang w:eastAsia="en-CA"/>
              </w:rPr>
              <w:t>20.5%</w:t>
            </w:r>
          </w:p>
        </w:tc>
        <w:tc>
          <w:tcPr>
            <w:tcW w:w="2060" w:type="dxa"/>
            <w:tcBorders>
              <w:top w:val="nil"/>
              <w:left w:val="nil"/>
              <w:bottom w:val="single" w:sz="8" w:space="0" w:color="auto"/>
              <w:right w:val="single" w:sz="8" w:space="0" w:color="auto"/>
            </w:tcBorders>
            <w:shd w:val="clear" w:color="auto" w:fill="auto"/>
            <w:noWrap/>
            <w:vAlign w:val="center"/>
            <w:hideMark/>
          </w:tcPr>
          <w:p w14:paraId="0F8B1382" w14:textId="77777777" w:rsidR="00AB05AB" w:rsidRPr="00AB05AB" w:rsidRDefault="00AB05AB" w:rsidP="00AB05AB">
            <w:pPr>
              <w:jc w:val="both"/>
              <w:rPr>
                <w:rFonts w:ascii="Arial" w:eastAsia="Times New Roman" w:hAnsi="Arial" w:cs="Arial"/>
                <w:color w:val="000000"/>
                <w:sz w:val="20"/>
                <w:szCs w:val="20"/>
                <w:lang w:eastAsia="en-CA"/>
              </w:rPr>
            </w:pPr>
            <w:r w:rsidRPr="00AB05AB">
              <w:rPr>
                <w:rFonts w:ascii="Arial" w:eastAsia="Times New Roman" w:hAnsi="Arial" w:cs="Arial"/>
                <w:color w:val="000000"/>
                <w:sz w:val="20"/>
                <w:szCs w:val="20"/>
                <w:lang w:eastAsia="en-CA"/>
              </w:rPr>
              <w:t> </w:t>
            </w:r>
          </w:p>
        </w:tc>
      </w:tr>
    </w:tbl>
    <w:p w14:paraId="4DA7466E" w14:textId="711BD7D6" w:rsidR="00CD288C" w:rsidRDefault="00CD288C" w:rsidP="00170A4A">
      <w:pPr>
        <w:rPr>
          <w:rFonts w:ascii="Arial" w:hAnsi="Arial" w:cs="Arial"/>
          <w:b/>
          <w:bCs/>
          <w:iCs/>
        </w:rPr>
      </w:pPr>
    </w:p>
    <w:p w14:paraId="3EA26BD8" w14:textId="77777777" w:rsidR="00F67540" w:rsidRDefault="00F67540" w:rsidP="00F67540">
      <w:pPr>
        <w:jc w:val="both"/>
        <w:rPr>
          <w:rFonts w:ascii="Arial" w:hAnsi="Arial" w:cs="Arial"/>
          <w:iCs/>
        </w:rPr>
      </w:pPr>
    </w:p>
    <w:p w14:paraId="52BA4E47" w14:textId="379E6FD1" w:rsidR="00F67540" w:rsidRDefault="00F67540" w:rsidP="00EE3788">
      <w:pPr>
        <w:jc w:val="both"/>
        <w:rPr>
          <w:rFonts w:ascii="Arial" w:hAnsi="Arial" w:cs="Arial"/>
          <w:b/>
          <w:bCs/>
          <w:iCs/>
        </w:rPr>
      </w:pPr>
      <w:r>
        <w:rPr>
          <w:rFonts w:ascii="Arial" w:hAnsi="Arial" w:cs="Arial"/>
          <w:iCs/>
        </w:rPr>
        <w:t xml:space="preserve">Chief Operating Officer Sam Rasmussen adds “The additional geotechnical investigation and laboratory </w:t>
      </w:r>
      <w:r w:rsidR="00611A3F">
        <w:rPr>
          <w:rFonts w:ascii="Arial" w:hAnsi="Arial" w:cs="Arial"/>
          <w:iCs/>
        </w:rPr>
        <w:t>test work</w:t>
      </w:r>
      <w:r>
        <w:rPr>
          <w:rFonts w:ascii="Arial" w:hAnsi="Arial" w:cs="Arial"/>
          <w:iCs/>
        </w:rPr>
        <w:t xml:space="preserve"> completed last year allowed Euro Sun to update the mining plan</w:t>
      </w:r>
      <w:r w:rsidR="00583A77">
        <w:rPr>
          <w:rFonts w:ascii="Arial" w:hAnsi="Arial" w:cs="Arial"/>
          <w:iCs/>
        </w:rPr>
        <w:t xml:space="preserve"> at</w:t>
      </w:r>
      <w:r>
        <w:rPr>
          <w:rFonts w:ascii="Arial" w:hAnsi="Arial" w:cs="Arial"/>
          <w:iCs/>
        </w:rPr>
        <w:t xml:space="preserve"> both</w:t>
      </w:r>
      <w:r w:rsidR="00583A77">
        <w:rPr>
          <w:rFonts w:ascii="Arial" w:hAnsi="Arial" w:cs="Arial"/>
          <w:iCs/>
        </w:rPr>
        <w:t xml:space="preserve"> the</w:t>
      </w:r>
      <w:r>
        <w:rPr>
          <w:rFonts w:ascii="Arial" w:hAnsi="Arial" w:cs="Arial"/>
          <w:iCs/>
        </w:rPr>
        <w:t xml:space="preserve"> Colnic and Rovina pits.  These optimizations allowed us to lower the stripping ratios and maximi</w:t>
      </w:r>
      <w:r w:rsidR="001E7FB3">
        <w:rPr>
          <w:rFonts w:ascii="Arial" w:hAnsi="Arial" w:cs="Arial"/>
          <w:iCs/>
        </w:rPr>
        <w:t>z</w:t>
      </w:r>
      <w:r>
        <w:rPr>
          <w:rFonts w:ascii="Arial" w:hAnsi="Arial" w:cs="Arial"/>
          <w:iCs/>
        </w:rPr>
        <w:t>e production in both pits</w:t>
      </w:r>
      <w:r w:rsidR="001E7FB3">
        <w:rPr>
          <w:rFonts w:ascii="Arial" w:hAnsi="Arial" w:cs="Arial"/>
          <w:iCs/>
        </w:rPr>
        <w:t>,</w:t>
      </w:r>
      <w:r>
        <w:rPr>
          <w:rFonts w:ascii="Arial" w:hAnsi="Arial" w:cs="Arial"/>
          <w:iCs/>
        </w:rPr>
        <w:t xml:space="preserve"> at a lower unit mining cost</w:t>
      </w:r>
      <w:r w:rsidR="001E7FB3">
        <w:rPr>
          <w:rFonts w:ascii="Arial" w:hAnsi="Arial" w:cs="Arial"/>
          <w:iCs/>
        </w:rPr>
        <w:t>,</w:t>
      </w:r>
      <w:r>
        <w:rPr>
          <w:rFonts w:ascii="Arial" w:hAnsi="Arial" w:cs="Arial"/>
          <w:iCs/>
        </w:rPr>
        <w:t xml:space="preserve"> while </w:t>
      </w:r>
      <w:r w:rsidR="001E7FB3">
        <w:rPr>
          <w:rFonts w:ascii="Arial" w:hAnsi="Arial" w:cs="Arial"/>
          <w:iCs/>
        </w:rPr>
        <w:t xml:space="preserve">also </w:t>
      </w:r>
      <w:r>
        <w:rPr>
          <w:rFonts w:ascii="Arial" w:hAnsi="Arial" w:cs="Arial"/>
          <w:iCs/>
        </w:rPr>
        <w:t>extending the life</w:t>
      </w:r>
      <w:r w:rsidR="001E7FB3">
        <w:rPr>
          <w:rFonts w:ascii="Arial" w:hAnsi="Arial" w:cs="Arial"/>
          <w:iCs/>
        </w:rPr>
        <w:t xml:space="preserve"> of </w:t>
      </w:r>
      <w:r w:rsidR="00611A3F">
        <w:rPr>
          <w:rFonts w:ascii="Arial" w:hAnsi="Arial" w:cs="Arial"/>
          <w:iCs/>
        </w:rPr>
        <w:t>mine</w:t>
      </w:r>
      <w:r>
        <w:rPr>
          <w:rFonts w:ascii="Arial" w:hAnsi="Arial" w:cs="Arial"/>
          <w:iCs/>
        </w:rPr>
        <w:t>.  These key optimizations further bolster the robustness of the Rovina Valley Project.</w:t>
      </w:r>
      <w:r w:rsidR="00DA7DA9">
        <w:rPr>
          <w:rFonts w:ascii="Arial" w:hAnsi="Arial" w:cs="Arial"/>
          <w:iCs/>
        </w:rPr>
        <w:t>”</w:t>
      </w:r>
    </w:p>
    <w:p w14:paraId="25853ACD" w14:textId="77777777" w:rsidR="00EA3973" w:rsidRPr="00EA3973" w:rsidRDefault="00EA3973" w:rsidP="00EE3788">
      <w:pPr>
        <w:jc w:val="both"/>
        <w:rPr>
          <w:rFonts w:ascii="Arial" w:hAnsi="Arial" w:cs="Arial"/>
          <w:i/>
        </w:rPr>
      </w:pPr>
    </w:p>
    <w:p w14:paraId="42822A3B" w14:textId="1001DB35" w:rsidR="00477483" w:rsidRPr="001705EC" w:rsidRDefault="00EA3973" w:rsidP="00EE3788">
      <w:pPr>
        <w:jc w:val="both"/>
        <w:rPr>
          <w:rFonts w:ascii="Arial" w:hAnsi="Arial" w:cs="Arial"/>
          <w:lang w:val="en-GB"/>
        </w:rPr>
      </w:pPr>
      <w:r w:rsidRPr="000F27FA">
        <w:rPr>
          <w:rFonts w:ascii="Arial" w:hAnsi="Arial" w:cs="Arial"/>
          <w:iCs/>
        </w:rPr>
        <w:t xml:space="preserve">The technical report related to the </w:t>
      </w:r>
      <w:r w:rsidR="00821E5D">
        <w:rPr>
          <w:rFonts w:ascii="Arial" w:hAnsi="Arial" w:cs="Arial"/>
          <w:iCs/>
        </w:rPr>
        <w:t xml:space="preserve">updated </w:t>
      </w:r>
      <w:r w:rsidR="000F27FA" w:rsidRPr="000F27FA">
        <w:rPr>
          <w:rFonts w:ascii="Arial" w:hAnsi="Arial" w:cs="Arial"/>
          <w:iCs/>
        </w:rPr>
        <w:t>DFS</w:t>
      </w:r>
      <w:r w:rsidRPr="000F27FA">
        <w:rPr>
          <w:rFonts w:ascii="Arial" w:hAnsi="Arial" w:cs="Arial"/>
          <w:iCs/>
        </w:rPr>
        <w:t xml:space="preserve"> results will be filed on SEDAR within 45 days, in accordance with National Instrument 43-101 (“NI 43-101”)</w:t>
      </w:r>
      <w:r w:rsidR="006F7BDD">
        <w:rPr>
          <w:rFonts w:ascii="Arial" w:hAnsi="Arial" w:cs="Arial"/>
          <w:iCs/>
        </w:rPr>
        <w:t xml:space="preserve">. </w:t>
      </w:r>
      <w:r w:rsidR="00D0365B">
        <w:rPr>
          <w:rFonts w:ascii="Arial" w:hAnsi="Arial" w:cs="Arial"/>
          <w:iCs/>
        </w:rPr>
        <w:t xml:space="preserve"> </w:t>
      </w:r>
      <w:bookmarkStart w:id="0" w:name="_Hlk65080097"/>
      <w:r w:rsidR="00477483" w:rsidRPr="001705EC">
        <w:rPr>
          <w:rFonts w:ascii="Arial" w:hAnsi="Arial" w:cs="Arial"/>
          <w:color w:val="000000"/>
          <w:lang w:val="en-GB"/>
        </w:rPr>
        <w:t>The study has been prepare</w:t>
      </w:r>
      <w:r w:rsidR="00477483" w:rsidRPr="001705EC">
        <w:rPr>
          <w:rFonts w:ascii="Arial" w:hAnsi="Arial" w:cs="Arial"/>
          <w:lang w:val="en-GB"/>
        </w:rPr>
        <w:t>d with input from</w:t>
      </w:r>
      <w:r w:rsidR="000559F8">
        <w:rPr>
          <w:rFonts w:ascii="Arial" w:hAnsi="Arial" w:cs="Arial"/>
          <w:lang w:val="en-GB"/>
        </w:rPr>
        <w:t xml:space="preserve"> the following</w:t>
      </w:r>
      <w:r w:rsidR="00477483" w:rsidRPr="001705EC">
        <w:rPr>
          <w:rFonts w:ascii="Arial" w:hAnsi="Arial" w:cs="Arial"/>
          <w:lang w:val="en-GB"/>
        </w:rPr>
        <w:t xml:space="preserve"> independent consultants</w:t>
      </w:r>
      <w:r w:rsidR="00477483">
        <w:rPr>
          <w:rFonts w:ascii="Arial" w:hAnsi="Arial" w:cs="Arial"/>
          <w:lang w:val="en-GB"/>
        </w:rPr>
        <w:t>:</w:t>
      </w:r>
    </w:p>
    <w:p w14:paraId="169AE4F7" w14:textId="77777777" w:rsidR="00477483" w:rsidRDefault="00477483" w:rsidP="00477483">
      <w:pPr>
        <w:jc w:val="both"/>
        <w:rPr>
          <w:b/>
          <w:bCs/>
          <w:color w:val="000000"/>
          <w:u w:val="single"/>
          <w:lang w:val="en-GB"/>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83"/>
        <w:gridCol w:w="4477"/>
      </w:tblGrid>
      <w:tr w:rsidR="00477483" w:rsidRPr="006C7E81" w14:paraId="2A04D53E" w14:textId="77777777" w:rsidTr="00F620D4">
        <w:tc>
          <w:tcPr>
            <w:tcW w:w="4883" w:type="dxa"/>
          </w:tcPr>
          <w:p w14:paraId="4F4E8ECD" w14:textId="414D7793" w:rsidR="00477483" w:rsidRPr="00F37E98" w:rsidRDefault="00477483" w:rsidP="006C7E81">
            <w:pPr>
              <w:rPr>
                <w:rFonts w:ascii="Arial" w:hAnsi="Arial" w:cs="Arial"/>
                <w:iCs/>
                <w:sz w:val="20"/>
                <w:szCs w:val="20"/>
              </w:rPr>
            </w:pPr>
            <w:r w:rsidRPr="00F37E98">
              <w:rPr>
                <w:rFonts w:ascii="Arial" w:hAnsi="Arial" w:cs="Arial"/>
                <w:iCs/>
                <w:sz w:val="20"/>
                <w:szCs w:val="20"/>
              </w:rPr>
              <w:t xml:space="preserve">Caracle Creek International Consulting </w:t>
            </w:r>
            <w:r w:rsidR="00AF1C62" w:rsidRPr="00F37E98">
              <w:rPr>
                <w:rFonts w:ascii="Arial" w:hAnsi="Arial" w:cs="Arial"/>
                <w:iCs/>
                <w:sz w:val="20"/>
                <w:szCs w:val="20"/>
              </w:rPr>
              <w:t xml:space="preserve">MINRES </w:t>
            </w:r>
            <w:r w:rsidRPr="00F37E98">
              <w:rPr>
                <w:rFonts w:ascii="Arial" w:hAnsi="Arial" w:cs="Arial"/>
                <w:iCs/>
                <w:sz w:val="20"/>
                <w:szCs w:val="20"/>
              </w:rPr>
              <w:t xml:space="preserve">– CCIC (South Africa) </w:t>
            </w:r>
          </w:p>
        </w:tc>
        <w:tc>
          <w:tcPr>
            <w:tcW w:w="4477" w:type="dxa"/>
          </w:tcPr>
          <w:p w14:paraId="13C93BB9" w14:textId="77777777" w:rsidR="00477483" w:rsidRPr="00F37E98" w:rsidRDefault="00477483" w:rsidP="006C7E81">
            <w:pPr>
              <w:rPr>
                <w:rFonts w:ascii="Arial" w:hAnsi="Arial" w:cs="Arial"/>
                <w:iCs/>
                <w:sz w:val="20"/>
                <w:szCs w:val="20"/>
              </w:rPr>
            </w:pPr>
            <w:r w:rsidRPr="00F37E98">
              <w:rPr>
                <w:rFonts w:ascii="Arial" w:hAnsi="Arial" w:cs="Arial"/>
                <w:iCs/>
                <w:sz w:val="20"/>
                <w:szCs w:val="20"/>
              </w:rPr>
              <w:t>Mineral resources</w:t>
            </w:r>
          </w:p>
        </w:tc>
      </w:tr>
      <w:tr w:rsidR="00477483" w:rsidRPr="006C7E81" w14:paraId="1D804C95" w14:textId="77777777" w:rsidTr="00F620D4">
        <w:tc>
          <w:tcPr>
            <w:tcW w:w="4883" w:type="dxa"/>
          </w:tcPr>
          <w:p w14:paraId="1675655F" w14:textId="77777777" w:rsidR="00477483" w:rsidRPr="00F37E98" w:rsidRDefault="00477483" w:rsidP="006C7E81">
            <w:pPr>
              <w:rPr>
                <w:rFonts w:ascii="Arial" w:hAnsi="Arial" w:cs="Arial"/>
                <w:iCs/>
                <w:sz w:val="20"/>
                <w:szCs w:val="20"/>
              </w:rPr>
            </w:pPr>
            <w:r w:rsidRPr="00F37E98">
              <w:rPr>
                <w:rFonts w:ascii="Arial" w:hAnsi="Arial" w:cs="Arial"/>
                <w:iCs/>
                <w:sz w:val="20"/>
                <w:szCs w:val="20"/>
              </w:rPr>
              <w:t>DRA (South Africa)</w:t>
            </w:r>
          </w:p>
        </w:tc>
        <w:tc>
          <w:tcPr>
            <w:tcW w:w="4477" w:type="dxa"/>
          </w:tcPr>
          <w:p w14:paraId="30BEA9AE" w14:textId="77777777" w:rsidR="00477483" w:rsidRPr="00F37E98" w:rsidRDefault="00477483" w:rsidP="006C7E81">
            <w:pPr>
              <w:rPr>
                <w:rFonts w:ascii="Arial" w:hAnsi="Arial" w:cs="Arial"/>
                <w:iCs/>
                <w:sz w:val="20"/>
                <w:szCs w:val="20"/>
              </w:rPr>
            </w:pPr>
            <w:r w:rsidRPr="00F37E98">
              <w:rPr>
                <w:rFonts w:ascii="Arial" w:hAnsi="Arial" w:cs="Arial"/>
                <w:iCs/>
                <w:sz w:val="20"/>
                <w:szCs w:val="20"/>
              </w:rPr>
              <w:t>Mining, mineral reserves</w:t>
            </w:r>
          </w:p>
        </w:tc>
      </w:tr>
      <w:tr w:rsidR="00477483" w:rsidRPr="006C7E81" w14:paraId="75BD1F0D" w14:textId="77777777" w:rsidTr="00F620D4">
        <w:tc>
          <w:tcPr>
            <w:tcW w:w="4883" w:type="dxa"/>
          </w:tcPr>
          <w:p w14:paraId="5E06B7D5" w14:textId="77777777" w:rsidR="00477483" w:rsidRPr="00F37E98" w:rsidRDefault="00477483" w:rsidP="006C7E81">
            <w:pPr>
              <w:rPr>
                <w:rFonts w:ascii="Arial" w:hAnsi="Arial" w:cs="Arial"/>
                <w:iCs/>
                <w:sz w:val="20"/>
                <w:szCs w:val="20"/>
              </w:rPr>
            </w:pPr>
            <w:r w:rsidRPr="00F37E98">
              <w:rPr>
                <w:rFonts w:ascii="Arial" w:hAnsi="Arial" w:cs="Arial"/>
                <w:iCs/>
                <w:sz w:val="20"/>
                <w:szCs w:val="20"/>
              </w:rPr>
              <w:t>ERM (Romania)</w:t>
            </w:r>
          </w:p>
        </w:tc>
        <w:tc>
          <w:tcPr>
            <w:tcW w:w="4477" w:type="dxa"/>
          </w:tcPr>
          <w:p w14:paraId="42C76010" w14:textId="77777777" w:rsidR="00477483" w:rsidRPr="00F37E98" w:rsidRDefault="00477483" w:rsidP="006C7E81">
            <w:pPr>
              <w:rPr>
                <w:rFonts w:ascii="Arial" w:hAnsi="Arial" w:cs="Arial"/>
                <w:iCs/>
                <w:sz w:val="20"/>
                <w:szCs w:val="20"/>
              </w:rPr>
            </w:pPr>
            <w:r w:rsidRPr="00F37E98">
              <w:rPr>
                <w:rFonts w:ascii="Arial" w:hAnsi="Arial" w:cs="Arial"/>
                <w:iCs/>
                <w:sz w:val="20"/>
                <w:szCs w:val="20"/>
              </w:rPr>
              <w:t>Environmental and social</w:t>
            </w:r>
          </w:p>
        </w:tc>
      </w:tr>
      <w:tr w:rsidR="00477483" w:rsidRPr="006C7E81" w14:paraId="33E1900F" w14:textId="77777777" w:rsidTr="000749E3">
        <w:tc>
          <w:tcPr>
            <w:tcW w:w="4883" w:type="dxa"/>
            <w:shd w:val="clear" w:color="auto" w:fill="auto"/>
          </w:tcPr>
          <w:p w14:paraId="735D1C5F" w14:textId="44EE14D6" w:rsidR="00477483" w:rsidRPr="000749E3" w:rsidRDefault="006C4413" w:rsidP="006C7E81">
            <w:pPr>
              <w:rPr>
                <w:rFonts w:ascii="Arial" w:hAnsi="Arial" w:cs="Arial"/>
                <w:iCs/>
                <w:sz w:val="20"/>
                <w:szCs w:val="20"/>
              </w:rPr>
            </w:pPr>
            <w:r w:rsidRPr="000749E3">
              <w:rPr>
                <w:rFonts w:ascii="Arial" w:hAnsi="Arial" w:cs="Arial"/>
                <w:iCs/>
                <w:sz w:val="20"/>
                <w:szCs w:val="20"/>
              </w:rPr>
              <w:t xml:space="preserve">Knight </w:t>
            </w:r>
            <w:proofErr w:type="spellStart"/>
            <w:r w:rsidRPr="000749E3">
              <w:rPr>
                <w:rFonts w:ascii="Arial" w:hAnsi="Arial" w:cs="Arial"/>
                <w:iCs/>
                <w:sz w:val="20"/>
                <w:szCs w:val="20"/>
              </w:rPr>
              <w:t>Piésold</w:t>
            </w:r>
            <w:proofErr w:type="spellEnd"/>
            <w:r w:rsidRPr="000749E3">
              <w:rPr>
                <w:rFonts w:ascii="Arial" w:hAnsi="Arial" w:cs="Arial"/>
                <w:iCs/>
                <w:sz w:val="20"/>
                <w:szCs w:val="20"/>
              </w:rPr>
              <w:t xml:space="preserve"> (South Africa)</w:t>
            </w:r>
          </w:p>
        </w:tc>
        <w:tc>
          <w:tcPr>
            <w:tcW w:w="4477" w:type="dxa"/>
            <w:shd w:val="clear" w:color="auto" w:fill="auto"/>
          </w:tcPr>
          <w:p w14:paraId="56166305" w14:textId="5752A7C0" w:rsidR="00477483" w:rsidRPr="000749E3" w:rsidRDefault="00477483" w:rsidP="006C7E81">
            <w:pPr>
              <w:rPr>
                <w:rFonts w:ascii="Arial" w:hAnsi="Arial" w:cs="Arial"/>
                <w:iCs/>
                <w:sz w:val="20"/>
                <w:szCs w:val="20"/>
              </w:rPr>
            </w:pPr>
            <w:proofErr w:type="gramStart"/>
            <w:r w:rsidRPr="000749E3">
              <w:rPr>
                <w:rFonts w:ascii="Arial" w:hAnsi="Arial" w:cs="Arial"/>
                <w:iCs/>
                <w:sz w:val="20"/>
                <w:szCs w:val="20"/>
              </w:rPr>
              <w:t>Tailings</w:t>
            </w:r>
            <w:proofErr w:type="gramEnd"/>
            <w:r w:rsidRPr="000749E3">
              <w:rPr>
                <w:rFonts w:ascii="Arial" w:hAnsi="Arial" w:cs="Arial"/>
                <w:iCs/>
                <w:sz w:val="20"/>
                <w:szCs w:val="20"/>
              </w:rPr>
              <w:t xml:space="preserve"> facilities, and Hydrogeology</w:t>
            </w:r>
          </w:p>
        </w:tc>
      </w:tr>
      <w:tr w:rsidR="006C4413" w:rsidRPr="006C7E81" w14:paraId="2180EECF" w14:textId="77777777" w:rsidTr="000749E3">
        <w:tc>
          <w:tcPr>
            <w:tcW w:w="4883" w:type="dxa"/>
            <w:shd w:val="clear" w:color="auto" w:fill="auto"/>
          </w:tcPr>
          <w:p w14:paraId="76FB5D28" w14:textId="065366F7" w:rsidR="006C4413" w:rsidRPr="000749E3" w:rsidDel="006C4413" w:rsidRDefault="006C4413" w:rsidP="006C7E81">
            <w:pPr>
              <w:rPr>
                <w:rFonts w:ascii="Arial" w:hAnsi="Arial" w:cs="Arial"/>
                <w:iCs/>
                <w:sz w:val="20"/>
                <w:szCs w:val="20"/>
              </w:rPr>
            </w:pPr>
            <w:proofErr w:type="spellStart"/>
            <w:r w:rsidRPr="000749E3">
              <w:rPr>
                <w:rFonts w:ascii="Arial" w:hAnsi="Arial" w:cs="Arial"/>
                <w:iCs/>
                <w:sz w:val="20"/>
                <w:szCs w:val="20"/>
              </w:rPr>
              <w:t>Middindi</w:t>
            </w:r>
            <w:proofErr w:type="spellEnd"/>
            <w:r w:rsidRPr="000749E3">
              <w:rPr>
                <w:rFonts w:ascii="Arial" w:hAnsi="Arial" w:cs="Arial"/>
                <w:iCs/>
                <w:sz w:val="20"/>
                <w:szCs w:val="20"/>
              </w:rPr>
              <w:t xml:space="preserve"> Consulting (South Africa)</w:t>
            </w:r>
          </w:p>
        </w:tc>
        <w:tc>
          <w:tcPr>
            <w:tcW w:w="4477" w:type="dxa"/>
            <w:shd w:val="clear" w:color="auto" w:fill="auto"/>
          </w:tcPr>
          <w:p w14:paraId="2431B1DB" w14:textId="31997FAC" w:rsidR="006C4413" w:rsidRPr="000749E3" w:rsidRDefault="006C4413" w:rsidP="006C7E81">
            <w:pPr>
              <w:rPr>
                <w:rFonts w:ascii="Arial" w:hAnsi="Arial" w:cs="Arial"/>
                <w:iCs/>
                <w:sz w:val="20"/>
                <w:szCs w:val="20"/>
              </w:rPr>
            </w:pPr>
            <w:r w:rsidRPr="000749E3">
              <w:rPr>
                <w:rFonts w:ascii="Arial" w:hAnsi="Arial" w:cs="Arial"/>
                <w:iCs/>
                <w:sz w:val="20"/>
                <w:szCs w:val="20"/>
              </w:rPr>
              <w:t>Geotechnical</w:t>
            </w:r>
          </w:p>
        </w:tc>
      </w:tr>
      <w:tr w:rsidR="00477483" w:rsidRPr="006C7E81" w14:paraId="12ADCD56" w14:textId="77777777" w:rsidTr="00F620D4">
        <w:tc>
          <w:tcPr>
            <w:tcW w:w="4883" w:type="dxa"/>
          </w:tcPr>
          <w:p w14:paraId="6F604FBC" w14:textId="77777777" w:rsidR="00477483" w:rsidRPr="00F37E98" w:rsidRDefault="00477483" w:rsidP="006C7E81">
            <w:pPr>
              <w:rPr>
                <w:rFonts w:ascii="Arial" w:hAnsi="Arial" w:cs="Arial"/>
                <w:iCs/>
                <w:sz w:val="20"/>
                <w:szCs w:val="20"/>
              </w:rPr>
            </w:pPr>
            <w:r w:rsidRPr="00F37E98">
              <w:rPr>
                <w:rFonts w:ascii="Arial" w:hAnsi="Arial" w:cs="Arial"/>
                <w:iCs/>
                <w:sz w:val="20"/>
                <w:szCs w:val="20"/>
              </w:rPr>
              <w:t>Lawrence Consulting (Canada)</w:t>
            </w:r>
          </w:p>
        </w:tc>
        <w:tc>
          <w:tcPr>
            <w:tcW w:w="4477" w:type="dxa"/>
          </w:tcPr>
          <w:p w14:paraId="5CDFD9A7" w14:textId="77777777" w:rsidR="00477483" w:rsidRPr="00F37E98" w:rsidRDefault="00477483" w:rsidP="006C7E81">
            <w:pPr>
              <w:rPr>
                <w:rFonts w:ascii="Arial" w:hAnsi="Arial" w:cs="Arial"/>
                <w:iCs/>
                <w:sz w:val="20"/>
                <w:szCs w:val="20"/>
              </w:rPr>
            </w:pPr>
            <w:r w:rsidRPr="00F37E98">
              <w:rPr>
                <w:rFonts w:ascii="Arial" w:hAnsi="Arial" w:cs="Arial"/>
                <w:iCs/>
                <w:sz w:val="20"/>
                <w:szCs w:val="20"/>
              </w:rPr>
              <w:t>Geochemistry</w:t>
            </w:r>
          </w:p>
        </w:tc>
      </w:tr>
      <w:tr w:rsidR="00477483" w:rsidRPr="006C7E81" w14:paraId="3450F79F" w14:textId="77777777" w:rsidTr="00F620D4">
        <w:tc>
          <w:tcPr>
            <w:tcW w:w="4883" w:type="dxa"/>
          </w:tcPr>
          <w:p w14:paraId="30AB24C6" w14:textId="77777777" w:rsidR="00477483" w:rsidRPr="00F37E98" w:rsidRDefault="00477483" w:rsidP="006C7E81">
            <w:pPr>
              <w:rPr>
                <w:rFonts w:ascii="Arial" w:hAnsi="Arial" w:cs="Arial"/>
                <w:iCs/>
                <w:sz w:val="20"/>
                <w:szCs w:val="20"/>
              </w:rPr>
            </w:pPr>
            <w:r w:rsidRPr="00F37E98">
              <w:rPr>
                <w:rFonts w:ascii="Arial" w:hAnsi="Arial" w:cs="Arial"/>
                <w:iCs/>
                <w:sz w:val="20"/>
                <w:szCs w:val="20"/>
              </w:rPr>
              <w:t xml:space="preserve">SENET (South Africa) </w:t>
            </w:r>
          </w:p>
        </w:tc>
        <w:tc>
          <w:tcPr>
            <w:tcW w:w="4477" w:type="dxa"/>
          </w:tcPr>
          <w:p w14:paraId="30AE932D" w14:textId="77777777" w:rsidR="00477483" w:rsidRPr="00F37E98" w:rsidRDefault="00477483" w:rsidP="006C7E81">
            <w:pPr>
              <w:rPr>
                <w:rFonts w:ascii="Arial" w:hAnsi="Arial" w:cs="Arial"/>
                <w:iCs/>
                <w:sz w:val="20"/>
                <w:szCs w:val="20"/>
              </w:rPr>
            </w:pPr>
            <w:r w:rsidRPr="00F37E98">
              <w:rPr>
                <w:rFonts w:ascii="Arial" w:hAnsi="Arial" w:cs="Arial"/>
                <w:iCs/>
                <w:sz w:val="20"/>
                <w:szCs w:val="20"/>
              </w:rPr>
              <w:t>Processing plant and infrastructure</w:t>
            </w:r>
          </w:p>
        </w:tc>
      </w:tr>
      <w:tr w:rsidR="00477483" w:rsidRPr="006C7E81" w14:paraId="6A94130E" w14:textId="77777777" w:rsidTr="00F620D4">
        <w:tc>
          <w:tcPr>
            <w:tcW w:w="4883" w:type="dxa"/>
            <w:vAlign w:val="center"/>
          </w:tcPr>
          <w:p w14:paraId="2138532C" w14:textId="77777777" w:rsidR="00477483" w:rsidRPr="00F37E98" w:rsidRDefault="00477483" w:rsidP="006C7E81">
            <w:pPr>
              <w:rPr>
                <w:rFonts w:ascii="Arial" w:hAnsi="Arial" w:cs="Arial"/>
                <w:iCs/>
                <w:sz w:val="20"/>
                <w:szCs w:val="20"/>
              </w:rPr>
            </w:pPr>
            <w:r w:rsidRPr="00F37E98">
              <w:rPr>
                <w:rFonts w:ascii="Arial" w:hAnsi="Arial" w:cs="Arial"/>
                <w:iCs/>
                <w:sz w:val="20"/>
                <w:szCs w:val="20"/>
              </w:rPr>
              <w:t>SENET and Sidus Consulting</w:t>
            </w:r>
          </w:p>
        </w:tc>
        <w:tc>
          <w:tcPr>
            <w:tcW w:w="4477" w:type="dxa"/>
          </w:tcPr>
          <w:p w14:paraId="08DB929C" w14:textId="77777777" w:rsidR="00477483" w:rsidRPr="00F37E98" w:rsidRDefault="00477483" w:rsidP="006C7E81">
            <w:pPr>
              <w:rPr>
                <w:rFonts w:ascii="Arial" w:hAnsi="Arial" w:cs="Arial"/>
                <w:iCs/>
                <w:sz w:val="20"/>
                <w:szCs w:val="20"/>
              </w:rPr>
            </w:pPr>
            <w:r w:rsidRPr="00F37E98">
              <w:rPr>
                <w:rFonts w:ascii="Arial" w:hAnsi="Arial" w:cs="Arial"/>
                <w:iCs/>
                <w:sz w:val="20"/>
                <w:szCs w:val="20"/>
              </w:rPr>
              <w:t>Economic valuation / financial modelling</w:t>
            </w:r>
          </w:p>
        </w:tc>
      </w:tr>
    </w:tbl>
    <w:p w14:paraId="3A240695" w14:textId="77777777" w:rsidR="00615124" w:rsidRDefault="00615124" w:rsidP="00C022B5">
      <w:pPr>
        <w:rPr>
          <w:rFonts w:ascii="Arial" w:hAnsi="Arial" w:cs="Arial"/>
          <w:b/>
          <w:bCs/>
          <w:color w:val="000000"/>
          <w:lang w:val="en-GB"/>
        </w:rPr>
      </w:pPr>
    </w:p>
    <w:p w14:paraId="690D62E0" w14:textId="77777777" w:rsidR="00615124" w:rsidRDefault="00615124" w:rsidP="00C022B5">
      <w:pPr>
        <w:rPr>
          <w:rFonts w:ascii="Arial" w:hAnsi="Arial" w:cs="Arial"/>
          <w:b/>
          <w:bCs/>
          <w:color w:val="000000"/>
          <w:lang w:val="en-GB"/>
        </w:rPr>
      </w:pPr>
    </w:p>
    <w:p w14:paraId="44F96530" w14:textId="77777777" w:rsidR="001936B6" w:rsidRDefault="001936B6">
      <w:pPr>
        <w:rPr>
          <w:rFonts w:ascii="Arial" w:hAnsi="Arial" w:cs="Arial"/>
          <w:b/>
          <w:bCs/>
          <w:color w:val="000000"/>
          <w:lang w:val="en-GB"/>
        </w:rPr>
      </w:pPr>
      <w:r>
        <w:rPr>
          <w:rFonts w:ascii="Arial" w:hAnsi="Arial" w:cs="Arial"/>
          <w:b/>
          <w:bCs/>
          <w:color w:val="000000"/>
          <w:lang w:val="en-GB"/>
        </w:rPr>
        <w:br w:type="page"/>
      </w:r>
    </w:p>
    <w:p w14:paraId="230AEAE8" w14:textId="08CD3F13" w:rsidR="00C022B5" w:rsidRPr="00872C06" w:rsidRDefault="00C022B5" w:rsidP="00C022B5">
      <w:pPr>
        <w:rPr>
          <w:rFonts w:ascii="Arial" w:hAnsi="Arial" w:cs="Arial"/>
          <w:b/>
          <w:bCs/>
          <w:color w:val="000000"/>
          <w:lang w:val="en-GB"/>
        </w:rPr>
      </w:pPr>
      <w:r w:rsidRPr="00872C06">
        <w:rPr>
          <w:rFonts w:ascii="Arial" w:hAnsi="Arial" w:cs="Arial"/>
          <w:b/>
          <w:bCs/>
          <w:color w:val="000000"/>
          <w:lang w:val="en-GB"/>
        </w:rPr>
        <w:lastRenderedPageBreak/>
        <w:t>Rovina Valley Gold-Copper Project Overview</w:t>
      </w:r>
    </w:p>
    <w:p w14:paraId="74E28093" w14:textId="77777777" w:rsidR="00C022B5" w:rsidRPr="001705EC" w:rsidRDefault="00C022B5" w:rsidP="00C022B5">
      <w:pPr>
        <w:jc w:val="both"/>
        <w:rPr>
          <w:color w:val="000000"/>
          <w:highlight w:val="lightGray"/>
          <w:lang w:val="en-GB"/>
        </w:rPr>
      </w:pPr>
    </w:p>
    <w:p w14:paraId="306B6D62" w14:textId="7B7310EC" w:rsidR="00C022B5" w:rsidRPr="00EC1F4A" w:rsidRDefault="00C022B5" w:rsidP="00C022B5">
      <w:pPr>
        <w:jc w:val="both"/>
        <w:rPr>
          <w:rFonts w:ascii="Arial" w:hAnsi="Arial" w:cs="Arial"/>
          <w:lang w:val="en-GB"/>
        </w:rPr>
      </w:pPr>
      <w:r w:rsidRPr="00EC1F4A">
        <w:rPr>
          <w:rFonts w:ascii="Arial" w:hAnsi="Arial" w:cs="Arial"/>
          <w:lang w:val="en-GB"/>
        </w:rPr>
        <w:t xml:space="preserve">The Rovina Valley Project is situated in the Hunedoara </w:t>
      </w:r>
      <w:r w:rsidR="00DF5CCC">
        <w:rPr>
          <w:rFonts w:ascii="Arial" w:hAnsi="Arial" w:cs="Arial"/>
          <w:lang w:val="en-GB"/>
        </w:rPr>
        <w:t>C</w:t>
      </w:r>
      <w:r w:rsidRPr="00EC1F4A">
        <w:rPr>
          <w:rFonts w:ascii="Arial" w:hAnsi="Arial" w:cs="Arial"/>
          <w:lang w:val="en-GB"/>
        </w:rPr>
        <w:t xml:space="preserve">ounty of Transylvania in western – central Romania. The Rovina Valley Project consists of three deposits, Rovina to the North, Colnic Central and the Ciresata deposit to the south. The DFS only </w:t>
      </w:r>
      <w:r w:rsidR="001F3E23">
        <w:rPr>
          <w:rFonts w:ascii="Arial" w:hAnsi="Arial" w:cs="Arial"/>
          <w:lang w:val="en-GB"/>
        </w:rPr>
        <w:t>incorporates</w:t>
      </w:r>
      <w:r w:rsidRPr="00EC1F4A">
        <w:rPr>
          <w:rFonts w:ascii="Arial" w:hAnsi="Arial" w:cs="Arial"/>
          <w:lang w:val="en-GB"/>
        </w:rPr>
        <w:t xml:space="preserve"> the Rovina and the Colnic deposits</w:t>
      </w:r>
      <w:r w:rsidR="006A3F03">
        <w:rPr>
          <w:rFonts w:ascii="Arial" w:hAnsi="Arial" w:cs="Arial"/>
          <w:lang w:val="en-GB"/>
        </w:rPr>
        <w:t xml:space="preserve"> and does not include the Ciresata deposit, which the Company expects will</w:t>
      </w:r>
      <w:r w:rsidRPr="00EC1F4A">
        <w:rPr>
          <w:rFonts w:ascii="Arial" w:hAnsi="Arial" w:cs="Arial"/>
          <w:lang w:val="en-GB"/>
        </w:rPr>
        <w:t xml:space="preserve"> be brought into the project for development later</w:t>
      </w:r>
      <w:r w:rsidR="00091A24">
        <w:rPr>
          <w:rFonts w:ascii="Arial" w:hAnsi="Arial" w:cs="Arial"/>
          <w:lang w:val="en-GB"/>
        </w:rPr>
        <w:t xml:space="preserve">, assuming future mining studies are </w:t>
      </w:r>
      <w:r w:rsidR="001936B6">
        <w:rPr>
          <w:rFonts w:ascii="Arial" w:hAnsi="Arial" w:cs="Arial"/>
          <w:lang w:val="en-GB"/>
        </w:rPr>
        <w:t>completed,</w:t>
      </w:r>
      <w:r w:rsidR="00091A24">
        <w:rPr>
          <w:rFonts w:ascii="Arial" w:hAnsi="Arial" w:cs="Arial"/>
          <w:lang w:val="en-GB"/>
        </w:rPr>
        <w:t xml:space="preserve"> and positive results are obtained</w:t>
      </w:r>
      <w:r w:rsidRPr="00EC1F4A">
        <w:rPr>
          <w:rFonts w:ascii="Arial" w:hAnsi="Arial" w:cs="Arial"/>
          <w:lang w:val="en-GB"/>
        </w:rPr>
        <w:t>. The Rovina exploration licence is held by Samax Romania S.R.L</w:t>
      </w:r>
      <w:r w:rsidR="00831B02">
        <w:rPr>
          <w:rFonts w:ascii="Arial" w:hAnsi="Arial" w:cs="Arial"/>
          <w:lang w:val="en-GB"/>
        </w:rPr>
        <w:t>.,</w:t>
      </w:r>
      <w:r w:rsidRPr="00EC1F4A">
        <w:rPr>
          <w:rFonts w:ascii="Arial" w:hAnsi="Arial" w:cs="Arial"/>
          <w:lang w:val="en-GB"/>
        </w:rPr>
        <w:t xml:space="preserve"> a Romanian registered company which is a wholly owned subsidiary of ESM. Since November 2018, ESM possesse</w:t>
      </w:r>
      <w:r w:rsidR="00F6467E">
        <w:rPr>
          <w:rFonts w:ascii="Arial" w:hAnsi="Arial" w:cs="Arial"/>
          <w:lang w:val="en-GB"/>
        </w:rPr>
        <w:t>s</w:t>
      </w:r>
      <w:r w:rsidRPr="00EC1F4A">
        <w:rPr>
          <w:rFonts w:ascii="Arial" w:hAnsi="Arial" w:cs="Arial"/>
          <w:lang w:val="en-GB"/>
        </w:rPr>
        <w:t xml:space="preserve"> an exploitation permit and mining licence with a renewable 20-year validity. </w:t>
      </w:r>
    </w:p>
    <w:p w14:paraId="24500452" w14:textId="77777777" w:rsidR="00C022B5" w:rsidRPr="00EC1F4A" w:rsidRDefault="00C022B5" w:rsidP="00C022B5">
      <w:pPr>
        <w:jc w:val="both"/>
        <w:rPr>
          <w:rFonts w:ascii="Arial" w:hAnsi="Arial" w:cs="Arial"/>
          <w:lang w:val="en-GB"/>
        </w:rPr>
      </w:pPr>
    </w:p>
    <w:p w14:paraId="27F33E4C" w14:textId="19870556" w:rsidR="00C022B5" w:rsidRPr="00EC1F4A" w:rsidRDefault="00C022B5" w:rsidP="00C022B5">
      <w:pPr>
        <w:jc w:val="both"/>
        <w:rPr>
          <w:rFonts w:ascii="Arial" w:hAnsi="Arial" w:cs="Arial"/>
          <w:lang w:val="en-GB"/>
        </w:rPr>
      </w:pPr>
      <w:r w:rsidRPr="00EC1F4A">
        <w:rPr>
          <w:rFonts w:ascii="Arial" w:hAnsi="Arial" w:cs="Arial"/>
          <w:lang w:val="en-GB"/>
        </w:rPr>
        <w:t>The Colnic and Ciresata deposits are described as gold-copper porphyries while the Rovina deposit is termed a copper-gold porphyry. All three of these deposits are located such that they can access a central processing plant.</w:t>
      </w:r>
      <w:r>
        <w:rPr>
          <w:rFonts w:ascii="Arial" w:hAnsi="Arial" w:cs="Arial"/>
          <w:lang w:val="en-GB"/>
        </w:rPr>
        <w:t xml:space="preserve"> </w:t>
      </w:r>
      <w:r w:rsidRPr="00EC1F4A">
        <w:rPr>
          <w:rFonts w:ascii="Arial" w:hAnsi="Arial" w:cs="Arial"/>
          <w:lang w:val="en-GB"/>
        </w:rPr>
        <w:t>The Rovina Valley Project processing facility is being designed to produce a gold and copper concentrate from the Colnic and Rovina deposits.</w:t>
      </w:r>
    </w:p>
    <w:p w14:paraId="39A9B19E" w14:textId="77777777" w:rsidR="00C022B5" w:rsidRPr="00EC1F4A" w:rsidRDefault="00C022B5" w:rsidP="00C022B5">
      <w:pPr>
        <w:jc w:val="both"/>
        <w:rPr>
          <w:rFonts w:ascii="Arial" w:hAnsi="Arial" w:cs="Arial"/>
          <w:lang w:val="en-GB"/>
        </w:rPr>
      </w:pPr>
    </w:p>
    <w:p w14:paraId="3E0FC33B" w14:textId="66893211" w:rsidR="00C022B5" w:rsidRPr="001705EC" w:rsidRDefault="00C022B5" w:rsidP="00C022B5">
      <w:pPr>
        <w:jc w:val="both"/>
        <w:rPr>
          <w:rFonts w:ascii="Arial" w:hAnsi="Arial" w:cs="Arial"/>
          <w:lang w:val="en-GB"/>
        </w:rPr>
      </w:pPr>
      <w:r w:rsidRPr="00EC1F4A">
        <w:rPr>
          <w:rFonts w:ascii="Arial" w:hAnsi="Arial" w:cs="Arial"/>
          <w:lang w:val="en-GB"/>
        </w:rPr>
        <w:t xml:space="preserve">The Rovina Valley Project is within the Golden Quadrilateral Mining District of the South Apuseni Mountains, an area with a history of mining dating back to Roman times. This has supported the development of excellent infrastructure including rail, </w:t>
      </w:r>
      <w:proofErr w:type="gramStart"/>
      <w:r w:rsidRPr="00EC1F4A">
        <w:rPr>
          <w:rFonts w:ascii="Arial" w:hAnsi="Arial" w:cs="Arial"/>
          <w:lang w:val="en-GB"/>
        </w:rPr>
        <w:t>power</w:t>
      </w:r>
      <w:proofErr w:type="gramEnd"/>
      <w:r w:rsidRPr="00EC1F4A">
        <w:rPr>
          <w:rFonts w:ascii="Arial" w:hAnsi="Arial" w:cs="Arial"/>
          <w:lang w:val="en-GB"/>
        </w:rPr>
        <w:t xml:space="preserve"> and paved access roads. In addition</w:t>
      </w:r>
      <w:r w:rsidR="00F8575A">
        <w:rPr>
          <w:rFonts w:ascii="Arial" w:hAnsi="Arial" w:cs="Arial"/>
          <w:lang w:val="en-GB"/>
        </w:rPr>
        <w:t>,</w:t>
      </w:r>
      <w:r w:rsidRPr="00EC1F4A">
        <w:rPr>
          <w:rFonts w:ascii="Arial" w:hAnsi="Arial" w:cs="Arial"/>
          <w:lang w:val="en-GB"/>
        </w:rPr>
        <w:t xml:space="preserve"> there are two international airports </w:t>
      </w:r>
      <w:r w:rsidR="009E2D9A">
        <w:rPr>
          <w:rFonts w:ascii="Arial" w:hAnsi="Arial" w:cs="Arial"/>
          <w:lang w:val="en-GB"/>
        </w:rPr>
        <w:t>less than</w:t>
      </w:r>
      <w:r w:rsidRPr="00EC1F4A">
        <w:rPr>
          <w:rFonts w:ascii="Arial" w:hAnsi="Arial" w:cs="Arial"/>
          <w:lang w:val="en-GB"/>
        </w:rPr>
        <w:t xml:space="preserve"> 180km from the project location. These being in the cities of Timisoara and Sibiu. The town of Brad </w:t>
      </w:r>
      <w:r>
        <w:rPr>
          <w:rFonts w:ascii="Arial" w:hAnsi="Arial" w:cs="Arial"/>
          <w:lang w:val="en-GB"/>
        </w:rPr>
        <w:t xml:space="preserve">is </w:t>
      </w:r>
      <w:r w:rsidRPr="00EC1F4A">
        <w:rPr>
          <w:rFonts w:ascii="Arial" w:hAnsi="Arial" w:cs="Arial"/>
          <w:lang w:val="en-GB"/>
        </w:rPr>
        <w:t>within 5km of the project site from where there will be a good source of local skilled labour. Sourcing the right skills and resources locally supports ESM community upliftment opportunities</w:t>
      </w:r>
      <w:r>
        <w:rPr>
          <w:rFonts w:cs="Arial"/>
        </w:rPr>
        <w:t>.</w:t>
      </w:r>
    </w:p>
    <w:p w14:paraId="7DC1772F" w14:textId="77777777" w:rsidR="00C022B5" w:rsidRPr="001705EC" w:rsidRDefault="00C022B5" w:rsidP="00C022B5">
      <w:pPr>
        <w:jc w:val="both"/>
        <w:rPr>
          <w:rFonts w:ascii="Arial" w:hAnsi="Arial" w:cs="Arial"/>
          <w:lang w:val="en-GB"/>
        </w:rPr>
      </w:pPr>
    </w:p>
    <w:p w14:paraId="272BE67B" w14:textId="71694497" w:rsidR="00C022B5" w:rsidRPr="001705EC" w:rsidRDefault="00C022B5" w:rsidP="00C022B5">
      <w:pPr>
        <w:pBdr>
          <w:top w:val="nil"/>
          <w:left w:val="nil"/>
          <w:bottom w:val="nil"/>
          <w:right w:val="nil"/>
          <w:between w:val="nil"/>
          <w:bar w:val="nil"/>
        </w:pBdr>
        <w:jc w:val="both"/>
        <w:rPr>
          <w:rFonts w:ascii="Arial" w:hAnsi="Arial" w:cs="Arial"/>
          <w:lang w:val="en-GB"/>
        </w:rPr>
      </w:pPr>
      <w:bookmarkStart w:id="1" w:name="_Hlk94855016"/>
      <w:r w:rsidRPr="001705EC">
        <w:rPr>
          <w:rFonts w:ascii="Arial" w:hAnsi="Arial" w:cs="Arial"/>
          <w:lang w:val="en-GB"/>
        </w:rPr>
        <w:t>T</w:t>
      </w:r>
      <w:r w:rsidRPr="001705EC">
        <w:rPr>
          <w:rFonts w:ascii="Arial" w:hAnsi="Arial" w:cs="Arial"/>
          <w:color w:val="000000"/>
          <w:lang w:val="en-GB"/>
        </w:rPr>
        <w:t xml:space="preserve">he </w:t>
      </w:r>
      <w:r>
        <w:rPr>
          <w:rFonts w:ascii="Arial" w:hAnsi="Arial" w:cs="Arial"/>
          <w:color w:val="000000"/>
          <w:lang w:val="en-GB"/>
        </w:rPr>
        <w:t xml:space="preserve">Rovina Valley Project </w:t>
      </w:r>
      <w:r w:rsidRPr="001705EC">
        <w:rPr>
          <w:rFonts w:ascii="Arial" w:hAnsi="Arial" w:cs="Arial"/>
          <w:color w:val="000000"/>
          <w:lang w:val="en-GB"/>
        </w:rPr>
        <w:t xml:space="preserve">is </w:t>
      </w:r>
      <w:r w:rsidR="006A3F03">
        <w:rPr>
          <w:rFonts w:ascii="Arial" w:hAnsi="Arial" w:cs="Arial"/>
          <w:color w:val="000000"/>
          <w:lang w:val="en-GB"/>
        </w:rPr>
        <w:t>expected</w:t>
      </w:r>
      <w:r w:rsidR="006A3F03" w:rsidRPr="001705EC">
        <w:rPr>
          <w:rFonts w:ascii="Arial" w:hAnsi="Arial" w:cs="Arial"/>
          <w:color w:val="000000"/>
          <w:lang w:val="en-GB"/>
        </w:rPr>
        <w:t xml:space="preserve"> </w:t>
      </w:r>
      <w:r w:rsidRPr="001705EC">
        <w:rPr>
          <w:rFonts w:ascii="Arial" w:hAnsi="Arial" w:cs="Arial"/>
          <w:color w:val="000000"/>
          <w:lang w:val="en-GB"/>
        </w:rPr>
        <w:t xml:space="preserve">to be mined with </w:t>
      </w:r>
      <w:r w:rsidRPr="001705EC">
        <w:rPr>
          <w:rFonts w:ascii="Arial" w:hAnsi="Arial"/>
          <w:color w:val="000000"/>
          <w:lang w:val="en-GB"/>
        </w:rPr>
        <w:t xml:space="preserve">a standard open-pit mining method using </w:t>
      </w:r>
      <w:r w:rsidR="00AB189C">
        <w:rPr>
          <w:rFonts w:ascii="Arial" w:hAnsi="Arial"/>
          <w:color w:val="000000"/>
          <w:lang w:val="en-GB"/>
        </w:rPr>
        <w:t>rigid dump</w:t>
      </w:r>
      <w:r w:rsidRPr="001705EC">
        <w:rPr>
          <w:rFonts w:ascii="Arial" w:hAnsi="Arial"/>
          <w:color w:val="000000"/>
          <w:lang w:val="en-GB"/>
        </w:rPr>
        <w:t xml:space="preserve"> trucks</w:t>
      </w:r>
      <w:r w:rsidRPr="001705EC">
        <w:rPr>
          <w:rFonts w:ascii="Arial" w:hAnsi="Arial"/>
          <w:color w:val="000000"/>
          <w:szCs w:val="20"/>
          <w:lang w:val="en-GB"/>
        </w:rPr>
        <w:t xml:space="preserve"> </w:t>
      </w:r>
      <w:r w:rsidRPr="001705EC">
        <w:rPr>
          <w:rFonts w:ascii="Arial" w:hAnsi="Arial"/>
          <w:color w:val="000000"/>
          <w:lang w:val="en-GB"/>
        </w:rPr>
        <w:t>and hydraulic loader</w:t>
      </w:r>
      <w:r w:rsidR="006C4413">
        <w:rPr>
          <w:rFonts w:ascii="Arial" w:hAnsi="Arial"/>
          <w:color w:val="000000"/>
          <w:lang w:val="en-GB"/>
        </w:rPr>
        <w:t>s</w:t>
      </w:r>
      <w:r w:rsidRPr="001705EC">
        <w:rPr>
          <w:rFonts w:ascii="Arial" w:hAnsi="Arial"/>
          <w:color w:val="000000"/>
          <w:lang w:val="en-GB"/>
        </w:rPr>
        <w:t>.</w:t>
      </w:r>
      <w:r>
        <w:rPr>
          <w:rFonts w:ascii="Arial" w:hAnsi="Arial"/>
          <w:color w:val="000000"/>
          <w:lang w:val="en-GB"/>
        </w:rPr>
        <w:t xml:space="preserve"> </w:t>
      </w:r>
      <w:r w:rsidRPr="001705EC">
        <w:rPr>
          <w:rFonts w:ascii="Arial" w:hAnsi="Arial" w:cs="Arial"/>
          <w:lang w:val="en-GB"/>
        </w:rPr>
        <w:t xml:space="preserve">The </w:t>
      </w:r>
      <w:r>
        <w:rPr>
          <w:rFonts w:ascii="Arial" w:hAnsi="Arial" w:cs="Arial"/>
          <w:lang w:val="en-GB"/>
        </w:rPr>
        <w:t>o</w:t>
      </w:r>
      <w:r w:rsidRPr="001705EC">
        <w:rPr>
          <w:rFonts w:ascii="Arial" w:hAnsi="Arial" w:cs="Arial"/>
          <w:lang w:val="en-GB"/>
        </w:rPr>
        <w:t xml:space="preserve">pen </w:t>
      </w:r>
      <w:r>
        <w:rPr>
          <w:rFonts w:ascii="Arial" w:hAnsi="Arial" w:cs="Arial"/>
          <w:lang w:val="en-GB"/>
        </w:rPr>
        <w:t>p</w:t>
      </w:r>
      <w:r w:rsidRPr="001705EC">
        <w:rPr>
          <w:rFonts w:ascii="Arial" w:hAnsi="Arial" w:cs="Arial"/>
          <w:lang w:val="en-GB"/>
        </w:rPr>
        <w:t xml:space="preserve">it </w:t>
      </w:r>
      <w:r>
        <w:rPr>
          <w:rFonts w:ascii="Arial" w:hAnsi="Arial" w:cs="Arial"/>
          <w:lang w:val="en-GB"/>
        </w:rPr>
        <w:t>m</w:t>
      </w:r>
      <w:r w:rsidRPr="001705EC">
        <w:rPr>
          <w:rFonts w:ascii="Arial" w:hAnsi="Arial" w:cs="Arial"/>
          <w:lang w:val="en-GB"/>
        </w:rPr>
        <w:t xml:space="preserve">ining operation </w:t>
      </w:r>
      <w:r w:rsidR="00CF7622">
        <w:rPr>
          <w:rFonts w:ascii="Arial" w:hAnsi="Arial" w:cs="Arial"/>
          <w:lang w:val="en-GB"/>
        </w:rPr>
        <w:t>is anticipated to</w:t>
      </w:r>
      <w:r w:rsidR="002B1ACA">
        <w:rPr>
          <w:rFonts w:ascii="Arial" w:hAnsi="Arial" w:cs="Arial"/>
          <w:lang w:val="en-GB"/>
        </w:rPr>
        <w:t xml:space="preserve"> last approximately</w:t>
      </w:r>
      <w:r>
        <w:rPr>
          <w:rFonts w:ascii="Arial" w:hAnsi="Arial" w:cs="Arial"/>
          <w:lang w:val="en-GB"/>
        </w:rPr>
        <w:t xml:space="preserve"> </w:t>
      </w:r>
      <w:r w:rsidR="006C4413" w:rsidRPr="007638B7">
        <w:rPr>
          <w:rFonts w:ascii="Arial" w:hAnsi="Arial" w:cs="Arial"/>
          <w:lang w:val="en-GB"/>
        </w:rPr>
        <w:t>seventeen</w:t>
      </w:r>
      <w:r w:rsidRPr="007638B7">
        <w:rPr>
          <w:rFonts w:ascii="Arial" w:hAnsi="Arial" w:cs="Arial"/>
          <w:lang w:val="en-GB"/>
        </w:rPr>
        <w:t xml:space="preserve"> years</w:t>
      </w:r>
      <w:r w:rsidRPr="00063CC7">
        <w:rPr>
          <w:rFonts w:ascii="Arial" w:hAnsi="Arial" w:cs="Arial"/>
          <w:lang w:val="en-GB"/>
        </w:rPr>
        <w:t>,</w:t>
      </w:r>
      <w:r w:rsidRPr="001705EC">
        <w:rPr>
          <w:rFonts w:ascii="Arial" w:hAnsi="Arial" w:cs="Arial"/>
          <w:lang w:val="en-GB"/>
        </w:rPr>
        <w:t xml:space="preserve"> during which the </w:t>
      </w:r>
      <w:r>
        <w:rPr>
          <w:rFonts w:ascii="Arial" w:hAnsi="Arial" w:cs="Arial"/>
          <w:lang w:val="en-GB"/>
        </w:rPr>
        <w:t>l</w:t>
      </w:r>
      <w:r w:rsidRPr="001705EC">
        <w:rPr>
          <w:rFonts w:ascii="Arial" w:hAnsi="Arial" w:cs="Arial"/>
          <w:lang w:val="en-GB"/>
        </w:rPr>
        <w:t xml:space="preserve">ower-grade material will be </w:t>
      </w:r>
      <w:proofErr w:type="gramStart"/>
      <w:r w:rsidRPr="001705EC">
        <w:rPr>
          <w:rFonts w:ascii="Arial" w:hAnsi="Arial" w:cs="Arial"/>
          <w:lang w:val="en-GB"/>
        </w:rPr>
        <w:t>stockpiled</w:t>
      </w:r>
      <w:proofErr w:type="gramEnd"/>
      <w:r w:rsidR="00A85AEE">
        <w:rPr>
          <w:rFonts w:ascii="Arial" w:hAnsi="Arial" w:cs="Arial"/>
          <w:lang w:val="en-GB"/>
        </w:rPr>
        <w:t xml:space="preserve"> if possible,</w:t>
      </w:r>
      <w:r w:rsidRPr="001705EC">
        <w:rPr>
          <w:rFonts w:ascii="Arial" w:hAnsi="Arial" w:cs="Arial"/>
          <w:lang w:val="en-GB"/>
        </w:rPr>
        <w:t xml:space="preserve"> </w:t>
      </w:r>
      <w:r>
        <w:rPr>
          <w:rFonts w:ascii="Arial" w:hAnsi="Arial" w:cs="Arial"/>
          <w:lang w:val="en-GB"/>
        </w:rPr>
        <w:t xml:space="preserve">for treatment </w:t>
      </w:r>
      <w:r w:rsidR="006C4413">
        <w:rPr>
          <w:rFonts w:ascii="Arial" w:hAnsi="Arial" w:cs="Arial"/>
          <w:lang w:val="en-GB"/>
        </w:rPr>
        <w:t>at the tail end of mining operations.</w:t>
      </w:r>
    </w:p>
    <w:p w14:paraId="5A35D480" w14:textId="77777777" w:rsidR="00C022B5" w:rsidRPr="001705EC" w:rsidRDefault="00C022B5" w:rsidP="00C022B5">
      <w:pPr>
        <w:pBdr>
          <w:top w:val="nil"/>
          <w:left w:val="nil"/>
          <w:bottom w:val="nil"/>
          <w:right w:val="nil"/>
          <w:between w:val="nil"/>
          <w:bar w:val="nil"/>
        </w:pBdr>
        <w:jc w:val="both"/>
        <w:rPr>
          <w:rFonts w:ascii="Arial" w:hAnsi="Arial" w:cs="Arial"/>
          <w:lang w:val="en-GB"/>
        </w:rPr>
      </w:pPr>
    </w:p>
    <w:p w14:paraId="038E769C" w14:textId="2E162854" w:rsidR="00533C68" w:rsidRDefault="00533C68" w:rsidP="00533C68">
      <w:pPr>
        <w:jc w:val="both"/>
        <w:textAlignment w:val="baseline"/>
        <w:rPr>
          <w:rFonts w:ascii="Arial" w:hAnsi="Arial" w:cs="Arial"/>
          <w:color w:val="000000"/>
          <w:lang w:val="en-GB"/>
        </w:rPr>
      </w:pPr>
      <w:r w:rsidRPr="007638B7">
        <w:rPr>
          <w:rFonts w:ascii="Arial" w:hAnsi="Arial" w:cs="Arial"/>
          <w:color w:val="000000"/>
          <w:lang w:val="en-GB"/>
        </w:rPr>
        <w:t xml:space="preserve">Over the life of the project, it </w:t>
      </w:r>
      <w:r w:rsidRPr="00A967ED">
        <w:rPr>
          <w:rFonts w:ascii="Arial" w:hAnsi="Arial" w:cs="Arial"/>
          <w:lang w:val="en-GB"/>
        </w:rPr>
        <w:t xml:space="preserve">is expected that 140.0 Mt of ore will be mined. Of this ore, 123.3 Mt will be delivered to the processing facility and 16.7 Mt low grade ore stockpiled where possible for future processing. </w:t>
      </w:r>
      <w:r w:rsidR="006A3F03">
        <w:rPr>
          <w:rFonts w:ascii="Arial" w:hAnsi="Arial" w:cs="Arial"/>
          <w:lang w:val="en-GB"/>
        </w:rPr>
        <w:t>In aggregate, over the life of the mine, a</w:t>
      </w:r>
      <w:r w:rsidRPr="00A967ED">
        <w:rPr>
          <w:rFonts w:ascii="Arial" w:hAnsi="Arial" w:cs="Arial"/>
          <w:lang w:val="en-GB"/>
        </w:rPr>
        <w:t xml:space="preserve"> total of 203.1 Mt </w:t>
      </w:r>
      <w:r w:rsidRPr="007638B7">
        <w:rPr>
          <w:rFonts w:ascii="Arial" w:hAnsi="Arial" w:cs="Arial"/>
          <w:color w:val="000000"/>
          <w:lang w:val="en-GB"/>
        </w:rPr>
        <w:t xml:space="preserve">of material will be mined and placed on the waste facility, representing a life of mine stripping ratio of </w:t>
      </w:r>
      <w:r w:rsidRPr="00A967ED">
        <w:rPr>
          <w:rFonts w:ascii="Arial" w:hAnsi="Arial" w:cs="Arial"/>
          <w:lang w:val="en-GB"/>
        </w:rPr>
        <w:t>1.45:1.</w:t>
      </w:r>
    </w:p>
    <w:bookmarkEnd w:id="1"/>
    <w:p w14:paraId="7407BF09" w14:textId="77777777" w:rsidR="00C022B5" w:rsidRPr="008251AD" w:rsidRDefault="00C022B5" w:rsidP="00C022B5">
      <w:pPr>
        <w:pBdr>
          <w:top w:val="nil"/>
          <w:left w:val="nil"/>
          <w:bottom w:val="nil"/>
          <w:right w:val="nil"/>
          <w:between w:val="nil"/>
          <w:bar w:val="nil"/>
        </w:pBdr>
        <w:jc w:val="both"/>
        <w:textAlignment w:val="baseline"/>
        <w:rPr>
          <w:rFonts w:ascii="Arial" w:hAnsi="Arial" w:cs="Arial"/>
          <w:color w:val="000000"/>
          <w:highlight w:val="yellow"/>
          <w:lang w:val="en-GB"/>
        </w:rPr>
      </w:pPr>
    </w:p>
    <w:p w14:paraId="1D0BC875" w14:textId="79A4D5EF" w:rsidR="00C022B5" w:rsidRPr="00A024F6" w:rsidRDefault="00C022B5" w:rsidP="00C02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000000"/>
          <w:lang w:val="en-GB"/>
        </w:rPr>
      </w:pPr>
      <w:r w:rsidRPr="00A024F6">
        <w:rPr>
          <w:rFonts w:ascii="Arial" w:hAnsi="Arial" w:cs="Arial"/>
          <w:b/>
          <w:bCs/>
          <w:color w:val="000000"/>
          <w:lang w:val="en-GB"/>
        </w:rPr>
        <w:t>Tailings Management</w:t>
      </w:r>
    </w:p>
    <w:p w14:paraId="6816010D" w14:textId="77777777" w:rsidR="00C022B5" w:rsidRPr="001705EC" w:rsidRDefault="00C022B5" w:rsidP="00C02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000000"/>
          <w:highlight w:val="lightGray"/>
          <w:u w:val="single"/>
          <w:lang w:val="en-GB"/>
        </w:rPr>
      </w:pPr>
    </w:p>
    <w:p w14:paraId="3BBA3AEE" w14:textId="048CC08A" w:rsidR="00A967ED" w:rsidRPr="004B3D57" w:rsidRDefault="002A1E9D" w:rsidP="001936B6">
      <w:pPr>
        <w:jc w:val="both"/>
        <w:rPr>
          <w:rFonts w:ascii="Arial" w:hAnsi="Arial" w:cs="Arial"/>
          <w:lang w:val="en-GB"/>
        </w:rPr>
      </w:pPr>
      <w:bookmarkStart w:id="2" w:name="_Hlk41925328"/>
      <w:r w:rsidRPr="007638B7">
        <w:rPr>
          <w:rFonts w:ascii="Arial" w:hAnsi="Arial" w:cs="Arial"/>
          <w:lang w:val="en-GB"/>
        </w:rPr>
        <w:t xml:space="preserve">Knight </w:t>
      </w:r>
      <w:proofErr w:type="spellStart"/>
      <w:r w:rsidRPr="007638B7">
        <w:rPr>
          <w:rFonts w:ascii="Arial" w:hAnsi="Arial" w:cs="Arial"/>
          <w:lang w:val="en-GB"/>
        </w:rPr>
        <w:t>Piésold</w:t>
      </w:r>
      <w:proofErr w:type="spellEnd"/>
      <w:r w:rsidRPr="007638B7">
        <w:rPr>
          <w:rFonts w:ascii="Arial" w:hAnsi="Arial" w:cs="Arial"/>
          <w:lang w:val="en-GB"/>
        </w:rPr>
        <w:t xml:space="preserve"> have advanced the design of</w:t>
      </w:r>
      <w:r w:rsidR="004C18F5" w:rsidRPr="007638B7">
        <w:rPr>
          <w:rFonts w:ascii="Arial" w:hAnsi="Arial" w:cs="Arial"/>
          <w:lang w:val="en-GB"/>
        </w:rPr>
        <w:t xml:space="preserve"> a waste management facility within the project area for the co-deposition of waste rock and filtered rougher tailings. </w:t>
      </w:r>
      <w:r w:rsidR="00867492" w:rsidRPr="007638B7">
        <w:rPr>
          <w:rFonts w:ascii="Arial" w:hAnsi="Arial" w:cs="Arial"/>
          <w:lang w:val="en-GB"/>
        </w:rPr>
        <w:t xml:space="preserve">Process plant rougher tailings will be filtered in the plant where the resultant filter cake will be transported by </w:t>
      </w:r>
      <w:r w:rsidR="002B27A2" w:rsidRPr="007638B7">
        <w:rPr>
          <w:rFonts w:ascii="Arial" w:hAnsi="Arial" w:cs="Arial"/>
          <w:lang w:val="en-GB"/>
        </w:rPr>
        <w:t>conveyors</w:t>
      </w:r>
      <w:r w:rsidR="00867492" w:rsidRPr="007638B7">
        <w:rPr>
          <w:rFonts w:ascii="Arial" w:hAnsi="Arial" w:cs="Arial"/>
          <w:lang w:val="en-GB"/>
        </w:rPr>
        <w:t xml:space="preserve"> and will be co</w:t>
      </w:r>
      <w:r w:rsidR="002B27A2" w:rsidRPr="007638B7">
        <w:rPr>
          <w:rFonts w:ascii="Arial" w:hAnsi="Arial" w:cs="Arial"/>
          <w:lang w:val="en-GB"/>
        </w:rPr>
        <w:t>-mingled with wa</w:t>
      </w:r>
      <w:r w:rsidR="00A85AEE">
        <w:rPr>
          <w:rFonts w:ascii="Arial" w:hAnsi="Arial" w:cs="Arial"/>
          <w:lang w:val="en-GB"/>
        </w:rPr>
        <w:t>s</w:t>
      </w:r>
      <w:r w:rsidR="002B27A2" w:rsidRPr="007638B7">
        <w:rPr>
          <w:rFonts w:ascii="Arial" w:hAnsi="Arial" w:cs="Arial"/>
          <w:lang w:val="en-GB"/>
        </w:rPr>
        <w:t xml:space="preserve">te rock prior to </w:t>
      </w:r>
      <w:r w:rsidR="00467ECC" w:rsidRPr="007638B7">
        <w:rPr>
          <w:rFonts w:ascii="Arial" w:hAnsi="Arial" w:cs="Arial"/>
          <w:lang w:val="en-GB"/>
        </w:rPr>
        <w:t>deposition. The</w:t>
      </w:r>
      <w:r w:rsidR="004C18F5" w:rsidRPr="007638B7">
        <w:rPr>
          <w:rFonts w:ascii="Arial" w:hAnsi="Arial" w:cs="Arial"/>
          <w:lang w:val="en-GB"/>
        </w:rPr>
        <w:t xml:space="preserve"> cleaner tail</w:t>
      </w:r>
      <w:r w:rsidR="002B27A2" w:rsidRPr="007638B7">
        <w:rPr>
          <w:rFonts w:ascii="Arial" w:hAnsi="Arial" w:cs="Arial"/>
          <w:lang w:val="en-GB"/>
        </w:rPr>
        <w:t>s will be filtered separately from the rougher tailings</w:t>
      </w:r>
      <w:r w:rsidR="00644671" w:rsidRPr="007638B7">
        <w:rPr>
          <w:rFonts w:ascii="Arial" w:hAnsi="Arial" w:cs="Arial"/>
          <w:lang w:val="en-GB"/>
        </w:rPr>
        <w:t xml:space="preserve"> and the resultant filter cake will be transported by conveyors and deposited separately within a </w:t>
      </w:r>
      <w:r w:rsidR="006F068C" w:rsidRPr="007638B7">
        <w:rPr>
          <w:rFonts w:ascii="Arial" w:hAnsi="Arial" w:cs="Arial"/>
          <w:lang w:val="en-GB"/>
        </w:rPr>
        <w:t>lined zone contained within the boundary of the co-mingled facility.</w:t>
      </w:r>
      <w:r w:rsidR="004C18F5" w:rsidRPr="007638B7">
        <w:rPr>
          <w:rFonts w:ascii="Arial" w:hAnsi="Arial" w:cs="Arial"/>
          <w:lang w:val="en-GB"/>
        </w:rPr>
        <w:t xml:space="preserve"> This design has been </w:t>
      </w:r>
      <w:r w:rsidR="00B942E1" w:rsidRPr="007638B7">
        <w:rPr>
          <w:rFonts w:ascii="Arial" w:hAnsi="Arial" w:cs="Arial"/>
          <w:lang w:val="en-GB"/>
        </w:rPr>
        <w:t xml:space="preserve">engineered </w:t>
      </w:r>
      <w:r w:rsidR="004C18F5" w:rsidRPr="007638B7">
        <w:rPr>
          <w:rFonts w:ascii="Arial" w:hAnsi="Arial" w:cs="Arial"/>
          <w:lang w:val="en-GB"/>
        </w:rPr>
        <w:t xml:space="preserve">to reduce the risk </w:t>
      </w:r>
      <w:r w:rsidR="00B942E1" w:rsidRPr="007638B7">
        <w:rPr>
          <w:rFonts w:ascii="Arial" w:hAnsi="Arial" w:cs="Arial"/>
          <w:lang w:val="en-GB"/>
        </w:rPr>
        <w:t>of development</w:t>
      </w:r>
      <w:r w:rsidR="004C18F5" w:rsidRPr="007638B7">
        <w:rPr>
          <w:rFonts w:ascii="Arial" w:hAnsi="Arial" w:cs="Arial"/>
          <w:lang w:val="en-GB"/>
        </w:rPr>
        <w:t xml:space="preserve"> of impacted seepage from potentially acid generating waste rock and capture the impacted seepage from the cleaner tailings. After completion of mining the Colnic pit, the waste rock and rougher tailings will be preferentially backfilled into the Colnic pit, while the cleaner tails will continue to report to the lined zone of the waste management facility.</w:t>
      </w:r>
      <w:bookmarkEnd w:id="2"/>
      <w:r w:rsidR="00A967ED">
        <w:rPr>
          <w:rFonts w:ascii="Arial" w:hAnsi="Arial" w:cs="Arial"/>
          <w:b/>
          <w:bCs/>
          <w:color w:val="000000"/>
          <w:lang w:val="en-GB"/>
        </w:rPr>
        <w:br w:type="page"/>
      </w:r>
    </w:p>
    <w:p w14:paraId="2441562E" w14:textId="69CB6A4F" w:rsidR="00C022B5" w:rsidRPr="00A024F6" w:rsidRDefault="00C022B5" w:rsidP="002200A4">
      <w:pPr>
        <w:rPr>
          <w:rFonts w:ascii="Arial" w:hAnsi="Arial" w:cs="Arial"/>
          <w:b/>
          <w:bCs/>
          <w:color w:val="000000"/>
          <w:lang w:val="en-GB"/>
        </w:rPr>
      </w:pPr>
      <w:r w:rsidRPr="00A024F6">
        <w:rPr>
          <w:rFonts w:ascii="Arial" w:hAnsi="Arial" w:cs="Arial"/>
          <w:b/>
          <w:bCs/>
          <w:color w:val="000000"/>
          <w:lang w:val="en-GB"/>
        </w:rPr>
        <w:lastRenderedPageBreak/>
        <w:t>Capital Costs</w:t>
      </w:r>
    </w:p>
    <w:p w14:paraId="7993D6C8" w14:textId="77777777" w:rsidR="00C022B5" w:rsidRPr="001705EC" w:rsidRDefault="00C022B5" w:rsidP="00C02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highlight w:val="lightGray"/>
          <w:u w:val="single"/>
          <w:lang w:val="en-GB"/>
        </w:rPr>
      </w:pPr>
    </w:p>
    <w:p w14:paraId="37A3C013" w14:textId="02506F82" w:rsidR="00C022B5" w:rsidRPr="001705EC" w:rsidRDefault="00C022B5" w:rsidP="00C02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GB"/>
        </w:rPr>
      </w:pPr>
      <w:r w:rsidRPr="001705EC">
        <w:rPr>
          <w:rFonts w:ascii="Arial" w:hAnsi="Arial" w:cs="Arial"/>
          <w:lang w:val="en-GB"/>
        </w:rPr>
        <w:t xml:space="preserve">The estimated capital costs for the </w:t>
      </w:r>
      <w:r>
        <w:rPr>
          <w:rFonts w:ascii="Arial" w:hAnsi="Arial" w:cs="Arial"/>
          <w:lang w:val="en-GB"/>
        </w:rPr>
        <w:t>Rovina Valley</w:t>
      </w:r>
      <w:r w:rsidRPr="001705EC">
        <w:rPr>
          <w:rFonts w:ascii="Arial" w:hAnsi="Arial" w:cs="Arial"/>
          <w:lang w:val="en-GB"/>
        </w:rPr>
        <w:t xml:space="preserve"> Project were in almost all cases built up from quotations and proposals from equipment and service providers. The </w:t>
      </w:r>
      <w:r w:rsidR="00821E5D">
        <w:rPr>
          <w:rFonts w:ascii="Arial" w:hAnsi="Arial" w:cs="Arial"/>
          <w:lang w:val="en-GB"/>
        </w:rPr>
        <w:t xml:space="preserve">updated </w:t>
      </w:r>
      <w:r w:rsidR="002B1ACA">
        <w:rPr>
          <w:rFonts w:ascii="Arial" w:hAnsi="Arial" w:cs="Arial"/>
          <w:lang w:val="en-GB"/>
        </w:rPr>
        <w:t>DFS</w:t>
      </w:r>
      <w:r w:rsidRPr="001705EC">
        <w:rPr>
          <w:rFonts w:ascii="Arial" w:hAnsi="Arial" w:cs="Arial"/>
          <w:lang w:val="en-GB"/>
        </w:rPr>
        <w:t xml:space="preserve"> costs currently utilize a</w:t>
      </w:r>
      <w:r>
        <w:rPr>
          <w:rFonts w:ascii="Arial" w:hAnsi="Arial" w:cs="Arial"/>
          <w:lang w:val="en-GB"/>
        </w:rPr>
        <w:t>n owner purchased</w:t>
      </w:r>
      <w:r w:rsidRPr="001705EC">
        <w:rPr>
          <w:rFonts w:ascii="Arial" w:hAnsi="Arial" w:cs="Arial"/>
          <w:lang w:val="en-GB"/>
        </w:rPr>
        <w:t xml:space="preserve"> and operated mining fleet. All financial analysis for the Life of Mine includes the total design, construction and commissioning, production, and closure. </w:t>
      </w:r>
    </w:p>
    <w:p w14:paraId="352F7791" w14:textId="77777777" w:rsidR="00C022B5" w:rsidRDefault="00C022B5" w:rsidP="00C022B5">
      <w:pPr>
        <w:jc w:val="both"/>
        <w:rPr>
          <w:rFonts w:ascii="Arial" w:hAnsi="Arial" w:cs="Arial"/>
          <w:lang w:val="en-GB"/>
        </w:rPr>
      </w:pPr>
    </w:p>
    <w:p w14:paraId="790AC76B" w14:textId="77777777" w:rsidR="00C022B5" w:rsidRPr="00F4552C" w:rsidRDefault="00C022B5" w:rsidP="00C022B5">
      <w:pPr>
        <w:rPr>
          <w:rFonts w:ascii="Arial" w:hAnsi="Arial" w:cs="Arial"/>
          <w:b/>
          <w:bCs/>
          <w:color w:val="000000"/>
          <w:lang w:val="en-GB"/>
        </w:rPr>
      </w:pPr>
      <w:r w:rsidRPr="00F4552C">
        <w:rPr>
          <w:rFonts w:ascii="Arial" w:hAnsi="Arial" w:cs="Arial"/>
          <w:b/>
          <w:bCs/>
          <w:color w:val="000000"/>
          <w:lang w:val="en-GB"/>
        </w:rPr>
        <w:t>Project Opportunities</w:t>
      </w:r>
    </w:p>
    <w:p w14:paraId="2D915A98" w14:textId="77777777" w:rsidR="00C022B5" w:rsidRPr="001705EC" w:rsidRDefault="00C022B5" w:rsidP="00C022B5">
      <w:pPr>
        <w:rPr>
          <w:color w:val="000000"/>
          <w:lang w:val="en-GB"/>
        </w:rPr>
      </w:pPr>
    </w:p>
    <w:p w14:paraId="3C4D4379" w14:textId="255C56B3" w:rsidR="00C022B5" w:rsidRDefault="00C022B5" w:rsidP="00C022B5">
      <w:pPr>
        <w:jc w:val="both"/>
        <w:rPr>
          <w:rFonts w:ascii="Arial" w:hAnsi="Arial" w:cs="Arial"/>
          <w:color w:val="000000"/>
          <w:lang w:val="en-GB"/>
        </w:rPr>
      </w:pPr>
      <w:r w:rsidRPr="001705EC">
        <w:rPr>
          <w:rFonts w:ascii="Arial" w:hAnsi="Arial" w:cs="Arial"/>
          <w:color w:val="000000"/>
          <w:lang w:val="en-GB"/>
        </w:rPr>
        <w:t xml:space="preserve">The </w:t>
      </w:r>
      <w:r w:rsidR="00091A24">
        <w:rPr>
          <w:rFonts w:ascii="Arial" w:hAnsi="Arial" w:cs="Arial"/>
          <w:color w:val="000000"/>
          <w:lang w:val="en-GB"/>
        </w:rPr>
        <w:t xml:space="preserve">updated </w:t>
      </w:r>
      <w:r w:rsidRPr="001705EC">
        <w:rPr>
          <w:rFonts w:ascii="Arial" w:hAnsi="Arial" w:cs="Arial"/>
          <w:color w:val="000000"/>
          <w:lang w:val="en-GB"/>
        </w:rPr>
        <w:t xml:space="preserve">DFS has been completed based upon </w:t>
      </w:r>
      <w:r>
        <w:rPr>
          <w:rFonts w:ascii="Arial" w:hAnsi="Arial" w:cs="Arial"/>
          <w:color w:val="000000"/>
          <w:lang w:val="en-GB"/>
        </w:rPr>
        <w:t xml:space="preserve">the development of the Colnic and Rovina pits only. Further developing and treating the resource at Ciresata could further extend the life of the operation while utilising the infrastructure and processing capabilities </w:t>
      </w:r>
      <w:r w:rsidR="00091A24">
        <w:rPr>
          <w:rFonts w:ascii="Arial" w:hAnsi="Arial" w:cs="Arial"/>
          <w:color w:val="000000"/>
          <w:lang w:val="en-GB"/>
        </w:rPr>
        <w:t xml:space="preserve">anticipated to be </w:t>
      </w:r>
      <w:r>
        <w:rPr>
          <w:rFonts w:ascii="Arial" w:hAnsi="Arial" w:cs="Arial"/>
          <w:color w:val="000000"/>
          <w:lang w:val="en-GB"/>
        </w:rPr>
        <w:t>in operation</w:t>
      </w:r>
      <w:r w:rsidR="00091A24">
        <w:rPr>
          <w:rFonts w:ascii="Arial" w:hAnsi="Arial" w:cs="Arial"/>
          <w:color w:val="000000"/>
          <w:lang w:val="en-GB"/>
        </w:rPr>
        <w:t xml:space="preserve"> for the Rovina and Colnic deposits</w:t>
      </w:r>
      <w:r>
        <w:rPr>
          <w:rFonts w:ascii="Arial" w:hAnsi="Arial" w:cs="Arial"/>
          <w:color w:val="000000"/>
          <w:lang w:val="en-GB"/>
        </w:rPr>
        <w:t>.</w:t>
      </w:r>
    </w:p>
    <w:p w14:paraId="478257D3" w14:textId="77777777" w:rsidR="00586AF8" w:rsidRDefault="00586AF8" w:rsidP="00C022B5">
      <w:pPr>
        <w:jc w:val="both"/>
        <w:rPr>
          <w:rFonts w:ascii="Arial" w:hAnsi="Arial" w:cs="Arial"/>
          <w:color w:val="000000"/>
          <w:lang w:val="en-GB"/>
        </w:rPr>
      </w:pPr>
    </w:p>
    <w:p w14:paraId="219BA533" w14:textId="77777777" w:rsidR="00A06151" w:rsidRPr="00A06151" w:rsidRDefault="00A06151" w:rsidP="00A06151">
      <w:pPr>
        <w:rPr>
          <w:rFonts w:ascii="Arial" w:hAnsi="Arial" w:cs="Arial"/>
          <w:b/>
          <w:bCs/>
          <w:color w:val="000000"/>
          <w:lang w:val="en-GB"/>
        </w:rPr>
      </w:pPr>
      <w:r w:rsidRPr="00A06151">
        <w:rPr>
          <w:rFonts w:ascii="Arial" w:hAnsi="Arial" w:cs="Arial"/>
          <w:b/>
          <w:bCs/>
          <w:color w:val="000000"/>
          <w:lang w:val="en-GB"/>
        </w:rPr>
        <w:t>Permitting Update</w:t>
      </w:r>
    </w:p>
    <w:p w14:paraId="6B1D4F12" w14:textId="77777777" w:rsidR="00A06151" w:rsidRDefault="00A06151" w:rsidP="00A06151"/>
    <w:p w14:paraId="11C3B0EB" w14:textId="317BEC2A" w:rsidR="00A06151" w:rsidRPr="00A06151" w:rsidRDefault="00A06151" w:rsidP="00A06151">
      <w:pPr>
        <w:jc w:val="both"/>
        <w:rPr>
          <w:rFonts w:ascii="Arial" w:hAnsi="Arial" w:cs="Arial"/>
          <w:lang w:val="en-GB"/>
        </w:rPr>
      </w:pPr>
      <w:r w:rsidRPr="00A06151">
        <w:rPr>
          <w:rFonts w:ascii="Arial" w:hAnsi="Arial" w:cs="Arial"/>
          <w:lang w:val="en-GB"/>
        </w:rPr>
        <w:t>The Company is currently completing the draft of the Planul Urbanistic Zonal (PUZ, Urban Zoning Plan) and expects to file with the County of Hunedoara in the coming weeks. It is expected to have the public audience on the draft plan sometime in early Q2</w:t>
      </w:r>
      <w:r w:rsidR="00091A24">
        <w:rPr>
          <w:rFonts w:ascii="Arial" w:hAnsi="Arial" w:cs="Arial"/>
          <w:lang w:val="en-GB"/>
        </w:rPr>
        <w:t>, 2022</w:t>
      </w:r>
      <w:r w:rsidRPr="00A06151">
        <w:rPr>
          <w:rFonts w:ascii="Arial" w:hAnsi="Arial" w:cs="Arial"/>
          <w:lang w:val="en-GB"/>
        </w:rPr>
        <w:t xml:space="preserve"> with final submission and approval of the PUZ in Q3 2022. Once the PUZ has been approved, submittal of the notification to complete the Environmental Impact Assessment (EIA)</w:t>
      </w:r>
      <w:r w:rsidR="00611A3F">
        <w:rPr>
          <w:rFonts w:ascii="Arial" w:hAnsi="Arial" w:cs="Arial"/>
          <w:lang w:val="en-GB"/>
        </w:rPr>
        <w:t xml:space="preserve"> </w:t>
      </w:r>
      <w:r w:rsidRPr="00A06151">
        <w:rPr>
          <w:rFonts w:ascii="Arial" w:hAnsi="Arial" w:cs="Arial"/>
          <w:lang w:val="en-GB"/>
        </w:rPr>
        <w:t xml:space="preserve">procedure will be filed with the Ministry of Environment. </w:t>
      </w:r>
    </w:p>
    <w:p w14:paraId="6521D542" w14:textId="77777777" w:rsidR="00586AF8" w:rsidRDefault="00586AF8" w:rsidP="00586AF8">
      <w:pPr>
        <w:rPr>
          <w:rFonts w:ascii="Arial" w:hAnsi="Arial" w:cs="Arial"/>
          <w:b/>
          <w:bCs/>
          <w:color w:val="000000"/>
          <w:lang w:val="en-GB"/>
        </w:rPr>
      </w:pPr>
    </w:p>
    <w:p w14:paraId="08641215" w14:textId="4053AD08" w:rsidR="00586AF8" w:rsidRDefault="00586AF8" w:rsidP="00586AF8">
      <w:pPr>
        <w:rPr>
          <w:rFonts w:ascii="Arial" w:hAnsi="Arial" w:cs="Arial"/>
          <w:b/>
          <w:bCs/>
          <w:color w:val="000000"/>
          <w:lang w:val="en-GB"/>
        </w:rPr>
      </w:pPr>
      <w:r w:rsidRPr="00586AF8">
        <w:rPr>
          <w:rFonts w:ascii="Arial" w:hAnsi="Arial" w:cs="Arial"/>
          <w:b/>
          <w:bCs/>
          <w:color w:val="000000"/>
          <w:lang w:val="en-GB"/>
        </w:rPr>
        <w:t>LSE Listing</w:t>
      </w:r>
    </w:p>
    <w:p w14:paraId="538BB9AA" w14:textId="77777777" w:rsidR="00586AF8" w:rsidRPr="00586AF8" w:rsidRDefault="00586AF8" w:rsidP="00586AF8">
      <w:pPr>
        <w:rPr>
          <w:rFonts w:ascii="Arial" w:hAnsi="Arial" w:cs="Arial"/>
          <w:b/>
          <w:bCs/>
          <w:color w:val="000000"/>
          <w:lang w:val="en-GB"/>
        </w:rPr>
      </w:pPr>
    </w:p>
    <w:p w14:paraId="30F30853" w14:textId="380DCF50" w:rsidR="00586AF8" w:rsidRPr="00586AF8" w:rsidRDefault="00586AF8" w:rsidP="00586AF8">
      <w:pPr>
        <w:jc w:val="both"/>
        <w:rPr>
          <w:rFonts w:ascii="Arial" w:hAnsi="Arial" w:cs="Arial"/>
          <w:color w:val="000000"/>
          <w:lang w:val="en-GB"/>
        </w:rPr>
      </w:pPr>
      <w:r w:rsidRPr="00586AF8">
        <w:rPr>
          <w:rFonts w:ascii="Arial" w:hAnsi="Arial" w:cs="Arial"/>
          <w:color w:val="000000"/>
          <w:lang w:val="en-GB"/>
        </w:rPr>
        <w:t>New eligibility requirements have been introduced by the London Stock Exchange and the Company is reviewing the new rules to determine the appropriate timing for moving ahead with a listing.</w:t>
      </w:r>
      <w:r>
        <w:rPr>
          <w:rFonts w:ascii="Arial" w:hAnsi="Arial" w:cs="Arial"/>
          <w:color w:val="000000"/>
          <w:lang w:val="en-GB"/>
        </w:rPr>
        <w:t xml:space="preserve"> </w:t>
      </w:r>
      <w:r w:rsidRPr="00586AF8">
        <w:rPr>
          <w:rFonts w:ascii="Arial" w:hAnsi="Arial" w:cs="Arial"/>
          <w:color w:val="000000"/>
          <w:lang w:val="en-GB"/>
        </w:rPr>
        <w:t>Once the Updated Definitive Technical Report is filed the Company will have six months to complete the application to list on the London Stock Exchange.</w:t>
      </w:r>
    </w:p>
    <w:p w14:paraId="363AEB5B" w14:textId="77777777" w:rsidR="00586AF8" w:rsidRDefault="00586AF8" w:rsidP="00C022B5">
      <w:pPr>
        <w:jc w:val="both"/>
        <w:rPr>
          <w:rFonts w:ascii="Arial" w:hAnsi="Arial" w:cs="Arial"/>
          <w:color w:val="000000"/>
          <w:lang w:val="en-GB"/>
        </w:rPr>
      </w:pPr>
    </w:p>
    <w:p w14:paraId="0D2A53C4" w14:textId="1846C6FA" w:rsidR="00773E4E" w:rsidRDefault="00773E4E" w:rsidP="00773E4E">
      <w:pPr>
        <w:rPr>
          <w:rFonts w:ascii="Arial" w:hAnsi="Arial" w:cs="Arial"/>
          <w:b/>
          <w:bCs/>
          <w:iCs/>
        </w:rPr>
      </w:pPr>
      <w:r w:rsidRPr="00E2779C">
        <w:rPr>
          <w:rFonts w:ascii="Arial" w:hAnsi="Arial" w:cs="Arial"/>
          <w:b/>
          <w:bCs/>
          <w:iCs/>
        </w:rPr>
        <w:t xml:space="preserve">Rovina Valley Project </w:t>
      </w:r>
      <w:r>
        <w:rPr>
          <w:rFonts w:ascii="Arial" w:hAnsi="Arial" w:cs="Arial"/>
          <w:b/>
          <w:bCs/>
          <w:iCs/>
        </w:rPr>
        <w:t>202</w:t>
      </w:r>
      <w:r w:rsidR="006F7BDD">
        <w:rPr>
          <w:rFonts w:ascii="Arial" w:hAnsi="Arial" w:cs="Arial"/>
          <w:b/>
          <w:bCs/>
          <w:iCs/>
        </w:rPr>
        <w:t>2</w:t>
      </w:r>
      <w:r>
        <w:rPr>
          <w:rFonts w:ascii="Arial" w:hAnsi="Arial" w:cs="Arial"/>
          <w:b/>
          <w:bCs/>
          <w:iCs/>
        </w:rPr>
        <w:t xml:space="preserve"> </w:t>
      </w:r>
      <w:r w:rsidRPr="00E2779C">
        <w:rPr>
          <w:rFonts w:ascii="Arial" w:hAnsi="Arial" w:cs="Arial"/>
          <w:b/>
          <w:bCs/>
          <w:iCs/>
        </w:rPr>
        <w:t xml:space="preserve">Resource </w:t>
      </w:r>
      <w:r w:rsidR="006A0699">
        <w:rPr>
          <w:rFonts w:ascii="Arial" w:hAnsi="Arial" w:cs="Arial"/>
          <w:b/>
          <w:bCs/>
          <w:iCs/>
        </w:rPr>
        <w:t xml:space="preserve">and Reserve </w:t>
      </w:r>
      <w:r w:rsidRPr="00E2779C">
        <w:rPr>
          <w:rFonts w:ascii="Arial" w:hAnsi="Arial" w:cs="Arial"/>
          <w:b/>
          <w:bCs/>
          <w:iCs/>
        </w:rPr>
        <w:t>Update</w:t>
      </w:r>
    </w:p>
    <w:p w14:paraId="68C1BC9C" w14:textId="6974F32A" w:rsidR="00CD288C" w:rsidRPr="007638B7" w:rsidRDefault="00CD288C" w:rsidP="00773E4E">
      <w:pPr>
        <w:rPr>
          <w:rFonts w:ascii="Arial" w:hAnsi="Arial" w:cs="Arial"/>
          <w:iCs/>
        </w:rPr>
      </w:pPr>
    </w:p>
    <w:p w14:paraId="7A58D43F" w14:textId="4EC0948A" w:rsidR="009A6C1A" w:rsidRDefault="009A6C1A" w:rsidP="009A6C1A">
      <w:pPr>
        <w:pStyle w:val="Caption"/>
        <w:jc w:val="left"/>
        <w:rPr>
          <w:szCs w:val="22"/>
        </w:rPr>
      </w:pPr>
      <w:r w:rsidRPr="00984102">
        <w:rPr>
          <w:szCs w:val="22"/>
        </w:rPr>
        <w:t>Table 2: Rovina Valley 202</w:t>
      </w:r>
      <w:r w:rsidR="00AA63E3">
        <w:rPr>
          <w:szCs w:val="22"/>
        </w:rPr>
        <w:t>2</w:t>
      </w:r>
      <w:r w:rsidRPr="00984102">
        <w:rPr>
          <w:szCs w:val="22"/>
        </w:rPr>
        <w:t xml:space="preserve"> Mineral Reserve Estimate</w:t>
      </w:r>
      <w:r>
        <w:rPr>
          <w:szCs w:val="22"/>
        </w:rPr>
        <w:t xml:space="preserve"> Colnic and Rovina Deposits</w:t>
      </w:r>
    </w:p>
    <w:tbl>
      <w:tblPr>
        <w:tblStyle w:val="SENETTable1"/>
        <w:tblW w:w="5000" w:type="pct"/>
        <w:tblLook w:val="04A0" w:firstRow="1" w:lastRow="0" w:firstColumn="1" w:lastColumn="0" w:noHBand="0" w:noVBand="1"/>
      </w:tblPr>
      <w:tblGrid>
        <w:gridCol w:w="1318"/>
        <w:gridCol w:w="1763"/>
        <w:gridCol w:w="1253"/>
        <w:gridCol w:w="1253"/>
        <w:gridCol w:w="1253"/>
        <w:gridCol w:w="1253"/>
        <w:gridCol w:w="1257"/>
      </w:tblGrid>
      <w:tr w:rsidR="009A6C1A" w:rsidRPr="00137329" w14:paraId="32DDFD01" w14:textId="77777777" w:rsidTr="00637D69">
        <w:trPr>
          <w:cnfStyle w:val="100000000000" w:firstRow="1" w:lastRow="0" w:firstColumn="0" w:lastColumn="0" w:oddVBand="0" w:evenVBand="0" w:oddHBand="0" w:evenHBand="0" w:firstRowFirstColumn="0" w:firstRowLastColumn="0" w:lastRowFirstColumn="0" w:lastRowLastColumn="0"/>
          <w:trHeight w:val="20"/>
        </w:trPr>
        <w:tc>
          <w:tcPr>
            <w:tcW w:w="705" w:type="pct"/>
            <w:shd w:val="clear" w:color="auto" w:fill="FFC000"/>
            <w:hideMark/>
          </w:tcPr>
          <w:p w14:paraId="3CD365F4" w14:textId="77777777" w:rsidR="009A6C1A" w:rsidRPr="00137329" w:rsidRDefault="009A6C1A" w:rsidP="00637D69">
            <w:pPr>
              <w:rPr>
                <w:rFonts w:eastAsia="Times New Roman" w:cs="Arial"/>
                <w:bCs/>
                <w:color w:val="auto"/>
                <w:sz w:val="20"/>
                <w:szCs w:val="20"/>
                <w:lang w:eastAsia="en-ZA"/>
              </w:rPr>
            </w:pPr>
            <w:bookmarkStart w:id="3" w:name="_Ref42765957"/>
            <w:r w:rsidRPr="00137329">
              <w:rPr>
                <w:rFonts w:eastAsia="Times New Roman" w:cs="Arial"/>
                <w:bCs/>
                <w:color w:val="auto"/>
                <w:sz w:val="20"/>
                <w:szCs w:val="20"/>
                <w:lang w:eastAsia="en-ZA"/>
              </w:rPr>
              <w:t>Deposit</w:t>
            </w:r>
          </w:p>
        </w:tc>
        <w:tc>
          <w:tcPr>
            <w:tcW w:w="943" w:type="pct"/>
            <w:shd w:val="clear" w:color="auto" w:fill="FFC000"/>
            <w:hideMark/>
          </w:tcPr>
          <w:p w14:paraId="14FB1F3B" w14:textId="77777777" w:rsidR="009A6C1A" w:rsidRPr="00137329" w:rsidRDefault="009A6C1A" w:rsidP="00637D69">
            <w:pPr>
              <w:rPr>
                <w:rFonts w:eastAsia="Times New Roman" w:cs="Arial"/>
                <w:bCs/>
                <w:color w:val="auto"/>
                <w:sz w:val="20"/>
                <w:szCs w:val="20"/>
                <w:lang w:eastAsia="en-ZA"/>
              </w:rPr>
            </w:pPr>
            <w:r w:rsidRPr="00137329">
              <w:rPr>
                <w:rFonts w:eastAsia="Times New Roman" w:cs="Arial"/>
                <w:bCs/>
                <w:color w:val="auto"/>
                <w:sz w:val="20"/>
                <w:szCs w:val="20"/>
                <w:lang w:eastAsia="en-ZA"/>
              </w:rPr>
              <w:t>Classification</w:t>
            </w:r>
          </w:p>
        </w:tc>
        <w:tc>
          <w:tcPr>
            <w:tcW w:w="670" w:type="pct"/>
            <w:shd w:val="clear" w:color="auto" w:fill="FFC000"/>
            <w:hideMark/>
          </w:tcPr>
          <w:p w14:paraId="00E9C8E5" w14:textId="77777777" w:rsidR="009A6C1A" w:rsidRPr="00137329" w:rsidRDefault="009A6C1A" w:rsidP="00637D69">
            <w:pPr>
              <w:rPr>
                <w:rFonts w:eastAsia="Times New Roman" w:cs="Arial"/>
                <w:bCs/>
                <w:color w:val="auto"/>
                <w:sz w:val="20"/>
                <w:szCs w:val="20"/>
                <w:lang w:eastAsia="en-ZA"/>
              </w:rPr>
            </w:pPr>
            <w:r w:rsidRPr="00137329">
              <w:rPr>
                <w:rFonts w:eastAsia="Times New Roman" w:cs="Arial"/>
                <w:bCs/>
                <w:color w:val="auto"/>
                <w:sz w:val="20"/>
                <w:szCs w:val="20"/>
                <w:lang w:eastAsia="en-ZA"/>
              </w:rPr>
              <w:t xml:space="preserve">Tonnage </w:t>
            </w:r>
            <w:r w:rsidRPr="00137329">
              <w:rPr>
                <w:rFonts w:eastAsia="Times New Roman" w:cs="Arial"/>
                <w:bCs/>
                <w:color w:val="auto"/>
                <w:sz w:val="20"/>
                <w:szCs w:val="20"/>
                <w:lang w:eastAsia="en-ZA"/>
              </w:rPr>
              <w:br/>
              <w:t>(Mt)</w:t>
            </w:r>
          </w:p>
        </w:tc>
        <w:tc>
          <w:tcPr>
            <w:tcW w:w="670" w:type="pct"/>
            <w:shd w:val="clear" w:color="auto" w:fill="FFC000"/>
            <w:hideMark/>
          </w:tcPr>
          <w:p w14:paraId="23CC9DFC" w14:textId="77777777" w:rsidR="009A6C1A" w:rsidRPr="00137329" w:rsidRDefault="009A6C1A" w:rsidP="00637D69">
            <w:pPr>
              <w:rPr>
                <w:rFonts w:eastAsia="Times New Roman" w:cs="Arial"/>
                <w:bCs/>
                <w:color w:val="auto"/>
                <w:sz w:val="20"/>
                <w:szCs w:val="20"/>
                <w:lang w:eastAsia="en-ZA"/>
              </w:rPr>
            </w:pPr>
            <w:r w:rsidRPr="00137329">
              <w:rPr>
                <w:rFonts w:eastAsia="Times New Roman" w:cs="Arial"/>
                <w:bCs/>
                <w:color w:val="auto"/>
                <w:sz w:val="20"/>
                <w:szCs w:val="20"/>
                <w:lang w:eastAsia="en-ZA"/>
              </w:rPr>
              <w:t>Au</w:t>
            </w:r>
            <w:r w:rsidRPr="00137329">
              <w:rPr>
                <w:rFonts w:eastAsia="Times New Roman" w:cs="Arial"/>
                <w:bCs/>
                <w:color w:val="auto"/>
                <w:sz w:val="20"/>
                <w:szCs w:val="20"/>
                <w:lang w:eastAsia="en-ZA"/>
              </w:rPr>
              <w:br/>
              <w:t>(g/t)</w:t>
            </w:r>
          </w:p>
        </w:tc>
        <w:tc>
          <w:tcPr>
            <w:tcW w:w="670" w:type="pct"/>
            <w:shd w:val="clear" w:color="auto" w:fill="FFC000"/>
            <w:hideMark/>
          </w:tcPr>
          <w:p w14:paraId="7BD58723" w14:textId="77777777" w:rsidR="009A6C1A" w:rsidRPr="00137329" w:rsidRDefault="009A6C1A" w:rsidP="00637D69">
            <w:pPr>
              <w:rPr>
                <w:rFonts w:eastAsia="Times New Roman" w:cs="Arial"/>
                <w:bCs/>
                <w:color w:val="auto"/>
                <w:sz w:val="20"/>
                <w:szCs w:val="20"/>
                <w:lang w:eastAsia="en-ZA"/>
              </w:rPr>
            </w:pPr>
            <w:r w:rsidRPr="00137329">
              <w:rPr>
                <w:rFonts w:eastAsia="Times New Roman" w:cs="Arial"/>
                <w:bCs/>
                <w:color w:val="auto"/>
                <w:sz w:val="20"/>
                <w:szCs w:val="20"/>
                <w:lang w:eastAsia="en-ZA"/>
              </w:rPr>
              <w:t xml:space="preserve">Cu </w:t>
            </w:r>
            <w:r w:rsidRPr="00137329">
              <w:rPr>
                <w:rFonts w:eastAsia="Times New Roman" w:cs="Arial"/>
                <w:bCs/>
                <w:color w:val="auto"/>
                <w:sz w:val="20"/>
                <w:szCs w:val="20"/>
                <w:lang w:eastAsia="en-ZA"/>
              </w:rPr>
              <w:br/>
              <w:t>(%)</w:t>
            </w:r>
          </w:p>
        </w:tc>
        <w:tc>
          <w:tcPr>
            <w:tcW w:w="670" w:type="pct"/>
            <w:shd w:val="clear" w:color="auto" w:fill="FFC000"/>
            <w:hideMark/>
          </w:tcPr>
          <w:p w14:paraId="49AE5711" w14:textId="77777777" w:rsidR="009A6C1A" w:rsidRPr="00137329" w:rsidRDefault="009A6C1A" w:rsidP="00637D69">
            <w:pPr>
              <w:rPr>
                <w:rFonts w:eastAsia="Times New Roman" w:cs="Arial"/>
                <w:bCs/>
                <w:color w:val="auto"/>
                <w:sz w:val="20"/>
                <w:szCs w:val="20"/>
                <w:lang w:eastAsia="en-ZA"/>
              </w:rPr>
            </w:pPr>
            <w:r w:rsidRPr="00137329">
              <w:rPr>
                <w:rFonts w:eastAsia="Times New Roman" w:cs="Arial"/>
                <w:bCs/>
                <w:color w:val="auto"/>
                <w:sz w:val="20"/>
                <w:szCs w:val="20"/>
                <w:lang w:eastAsia="en-ZA"/>
              </w:rPr>
              <w:t>Au</w:t>
            </w:r>
            <w:r w:rsidRPr="00137329">
              <w:rPr>
                <w:rFonts w:eastAsia="Times New Roman" w:cs="Arial"/>
                <w:bCs/>
                <w:color w:val="auto"/>
                <w:sz w:val="20"/>
                <w:szCs w:val="20"/>
                <w:lang w:eastAsia="en-ZA"/>
              </w:rPr>
              <w:br/>
              <w:t>(</w:t>
            </w:r>
            <w:proofErr w:type="spellStart"/>
            <w:r w:rsidRPr="00137329">
              <w:rPr>
                <w:rFonts w:eastAsia="Times New Roman" w:cs="Arial"/>
                <w:bCs/>
                <w:color w:val="auto"/>
                <w:sz w:val="20"/>
                <w:szCs w:val="20"/>
                <w:lang w:eastAsia="en-ZA"/>
              </w:rPr>
              <w:t>koz</w:t>
            </w:r>
            <w:proofErr w:type="spellEnd"/>
            <w:r w:rsidRPr="00137329">
              <w:rPr>
                <w:rFonts w:eastAsia="Times New Roman" w:cs="Arial"/>
                <w:bCs/>
                <w:color w:val="auto"/>
                <w:sz w:val="20"/>
                <w:szCs w:val="20"/>
                <w:lang w:eastAsia="en-ZA"/>
              </w:rPr>
              <w:t>)</w:t>
            </w:r>
          </w:p>
        </w:tc>
        <w:tc>
          <w:tcPr>
            <w:tcW w:w="672" w:type="pct"/>
            <w:shd w:val="clear" w:color="auto" w:fill="FFC000"/>
            <w:hideMark/>
          </w:tcPr>
          <w:p w14:paraId="404F0775" w14:textId="77777777" w:rsidR="009A6C1A" w:rsidRPr="00137329" w:rsidRDefault="009A6C1A" w:rsidP="00637D69">
            <w:pPr>
              <w:rPr>
                <w:rFonts w:eastAsia="Times New Roman" w:cs="Arial"/>
                <w:bCs/>
                <w:color w:val="auto"/>
                <w:sz w:val="20"/>
                <w:szCs w:val="20"/>
                <w:lang w:eastAsia="en-ZA"/>
              </w:rPr>
            </w:pPr>
            <w:r w:rsidRPr="00137329">
              <w:rPr>
                <w:rFonts w:eastAsia="Times New Roman" w:cs="Arial"/>
                <w:bCs/>
                <w:color w:val="auto"/>
                <w:sz w:val="20"/>
                <w:szCs w:val="20"/>
                <w:lang w:eastAsia="en-ZA"/>
              </w:rPr>
              <w:t>Cu</w:t>
            </w:r>
            <w:r w:rsidRPr="00137329">
              <w:rPr>
                <w:rFonts w:eastAsia="Times New Roman" w:cs="Arial"/>
                <w:bCs/>
                <w:color w:val="auto"/>
                <w:sz w:val="20"/>
                <w:szCs w:val="20"/>
                <w:lang w:eastAsia="en-ZA"/>
              </w:rPr>
              <w:br/>
              <w:t>(t)</w:t>
            </w:r>
          </w:p>
        </w:tc>
      </w:tr>
      <w:tr w:rsidR="009A6C1A" w:rsidRPr="00137329" w14:paraId="41EFBBE2" w14:textId="77777777" w:rsidTr="00637D69">
        <w:trPr>
          <w:trHeight w:val="20"/>
        </w:trPr>
        <w:tc>
          <w:tcPr>
            <w:tcW w:w="705" w:type="pct"/>
            <w:vMerge w:val="restart"/>
            <w:hideMark/>
          </w:tcPr>
          <w:p w14:paraId="093FDF9D" w14:textId="77777777" w:rsidR="009A6C1A" w:rsidRPr="00137329" w:rsidRDefault="009A6C1A" w:rsidP="00637D69">
            <w:pPr>
              <w:jc w:val="both"/>
              <w:rPr>
                <w:rFonts w:eastAsia="Times New Roman" w:cs="Arial"/>
                <w:color w:val="000000"/>
                <w:sz w:val="20"/>
                <w:szCs w:val="20"/>
                <w:lang w:eastAsia="en-ZA"/>
              </w:rPr>
            </w:pPr>
            <w:r w:rsidRPr="00137329">
              <w:rPr>
                <w:rFonts w:eastAsia="Times New Roman" w:cs="Arial"/>
                <w:color w:val="000000"/>
                <w:sz w:val="20"/>
                <w:szCs w:val="20"/>
                <w:lang w:eastAsia="en-ZA"/>
              </w:rPr>
              <w:t>Colnic</w:t>
            </w:r>
          </w:p>
        </w:tc>
        <w:tc>
          <w:tcPr>
            <w:tcW w:w="943" w:type="pct"/>
            <w:hideMark/>
          </w:tcPr>
          <w:p w14:paraId="7272521D" w14:textId="77777777" w:rsidR="009A6C1A" w:rsidRPr="00137329" w:rsidRDefault="009A6C1A" w:rsidP="00637D69">
            <w:pPr>
              <w:jc w:val="both"/>
              <w:rPr>
                <w:rFonts w:eastAsia="Times New Roman" w:cs="Arial"/>
                <w:color w:val="000000"/>
                <w:sz w:val="20"/>
                <w:szCs w:val="20"/>
                <w:lang w:eastAsia="en-ZA"/>
              </w:rPr>
            </w:pPr>
            <w:r w:rsidRPr="00137329">
              <w:rPr>
                <w:rFonts w:eastAsia="Times New Roman" w:cs="Arial"/>
                <w:color w:val="000000"/>
                <w:sz w:val="20"/>
                <w:szCs w:val="20"/>
                <w:lang w:eastAsia="en-ZA"/>
              </w:rPr>
              <w:t>Proven</w:t>
            </w:r>
          </w:p>
        </w:tc>
        <w:tc>
          <w:tcPr>
            <w:tcW w:w="670" w:type="pct"/>
            <w:hideMark/>
          </w:tcPr>
          <w:p w14:paraId="26C518B3"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25.60</w:t>
            </w:r>
          </w:p>
        </w:tc>
        <w:tc>
          <w:tcPr>
            <w:tcW w:w="670" w:type="pct"/>
            <w:hideMark/>
          </w:tcPr>
          <w:p w14:paraId="72514FBC"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0.65</w:t>
            </w:r>
          </w:p>
        </w:tc>
        <w:tc>
          <w:tcPr>
            <w:tcW w:w="670" w:type="pct"/>
            <w:hideMark/>
          </w:tcPr>
          <w:p w14:paraId="346CCECB"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0.11%</w:t>
            </w:r>
          </w:p>
        </w:tc>
        <w:tc>
          <w:tcPr>
            <w:tcW w:w="670" w:type="pct"/>
            <w:shd w:val="clear" w:color="auto" w:fill="auto"/>
            <w:hideMark/>
          </w:tcPr>
          <w:p w14:paraId="4D460003"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535.0</w:t>
            </w:r>
          </w:p>
        </w:tc>
        <w:tc>
          <w:tcPr>
            <w:tcW w:w="672" w:type="pct"/>
            <w:hideMark/>
          </w:tcPr>
          <w:p w14:paraId="117B4AC2"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28,158.7</w:t>
            </w:r>
          </w:p>
        </w:tc>
      </w:tr>
      <w:tr w:rsidR="009A6C1A" w:rsidRPr="00137329" w14:paraId="5BD40B19" w14:textId="77777777" w:rsidTr="00637D69">
        <w:trPr>
          <w:trHeight w:val="20"/>
        </w:trPr>
        <w:tc>
          <w:tcPr>
            <w:tcW w:w="705" w:type="pct"/>
            <w:vMerge/>
            <w:hideMark/>
          </w:tcPr>
          <w:p w14:paraId="2507AAEA" w14:textId="77777777" w:rsidR="009A6C1A" w:rsidRPr="00137329" w:rsidRDefault="009A6C1A" w:rsidP="00637D69">
            <w:pPr>
              <w:rPr>
                <w:rFonts w:eastAsia="Times New Roman" w:cs="Arial"/>
                <w:color w:val="000000"/>
                <w:sz w:val="20"/>
                <w:szCs w:val="20"/>
                <w:lang w:eastAsia="en-ZA"/>
              </w:rPr>
            </w:pPr>
          </w:p>
        </w:tc>
        <w:tc>
          <w:tcPr>
            <w:tcW w:w="943" w:type="pct"/>
            <w:hideMark/>
          </w:tcPr>
          <w:p w14:paraId="3234965F" w14:textId="77777777" w:rsidR="009A6C1A" w:rsidRPr="00137329" w:rsidRDefault="009A6C1A" w:rsidP="00637D69">
            <w:pPr>
              <w:jc w:val="both"/>
              <w:rPr>
                <w:rFonts w:eastAsia="Times New Roman" w:cs="Arial"/>
                <w:color w:val="000000"/>
                <w:sz w:val="20"/>
                <w:szCs w:val="20"/>
                <w:lang w:eastAsia="en-ZA"/>
              </w:rPr>
            </w:pPr>
            <w:r w:rsidRPr="00137329">
              <w:rPr>
                <w:rFonts w:eastAsia="Times New Roman" w:cs="Arial"/>
                <w:color w:val="000000"/>
                <w:sz w:val="20"/>
                <w:szCs w:val="20"/>
                <w:lang w:eastAsia="en-ZA"/>
              </w:rPr>
              <w:t>Probable</w:t>
            </w:r>
          </w:p>
        </w:tc>
        <w:tc>
          <w:tcPr>
            <w:tcW w:w="670" w:type="pct"/>
            <w:hideMark/>
          </w:tcPr>
          <w:p w14:paraId="2679794E"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47.99</w:t>
            </w:r>
          </w:p>
        </w:tc>
        <w:tc>
          <w:tcPr>
            <w:tcW w:w="670" w:type="pct"/>
            <w:hideMark/>
          </w:tcPr>
          <w:p w14:paraId="1D2F610E"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0.55</w:t>
            </w:r>
          </w:p>
        </w:tc>
        <w:tc>
          <w:tcPr>
            <w:tcW w:w="670" w:type="pct"/>
            <w:hideMark/>
          </w:tcPr>
          <w:p w14:paraId="3DAB2702"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0.09%</w:t>
            </w:r>
          </w:p>
        </w:tc>
        <w:tc>
          <w:tcPr>
            <w:tcW w:w="670" w:type="pct"/>
            <w:shd w:val="clear" w:color="auto" w:fill="auto"/>
            <w:hideMark/>
          </w:tcPr>
          <w:p w14:paraId="6A045828"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848.6</w:t>
            </w:r>
          </w:p>
        </w:tc>
        <w:tc>
          <w:tcPr>
            <w:tcW w:w="672" w:type="pct"/>
            <w:hideMark/>
          </w:tcPr>
          <w:p w14:paraId="43B6EDF8"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43,190.4</w:t>
            </w:r>
          </w:p>
        </w:tc>
      </w:tr>
      <w:tr w:rsidR="009A6C1A" w:rsidRPr="00137329" w14:paraId="48FA3DC2" w14:textId="77777777" w:rsidTr="00637D69">
        <w:trPr>
          <w:trHeight w:val="20"/>
        </w:trPr>
        <w:tc>
          <w:tcPr>
            <w:tcW w:w="705" w:type="pct"/>
            <w:vMerge w:val="restart"/>
            <w:hideMark/>
          </w:tcPr>
          <w:p w14:paraId="70BAAD46" w14:textId="77777777" w:rsidR="009A6C1A" w:rsidRPr="00137329" w:rsidRDefault="009A6C1A" w:rsidP="00637D69">
            <w:pPr>
              <w:jc w:val="both"/>
              <w:rPr>
                <w:rFonts w:eastAsia="Times New Roman" w:cs="Arial"/>
                <w:color w:val="000000"/>
                <w:sz w:val="20"/>
                <w:szCs w:val="20"/>
                <w:lang w:eastAsia="en-ZA"/>
              </w:rPr>
            </w:pPr>
            <w:r w:rsidRPr="00137329">
              <w:rPr>
                <w:rFonts w:eastAsia="Times New Roman" w:cs="Arial"/>
                <w:color w:val="000000"/>
                <w:sz w:val="20"/>
                <w:szCs w:val="20"/>
                <w:lang w:eastAsia="en-ZA"/>
              </w:rPr>
              <w:t>Rovina</w:t>
            </w:r>
          </w:p>
        </w:tc>
        <w:tc>
          <w:tcPr>
            <w:tcW w:w="943" w:type="pct"/>
            <w:hideMark/>
          </w:tcPr>
          <w:p w14:paraId="4496458C" w14:textId="77777777" w:rsidR="009A6C1A" w:rsidRPr="00137329" w:rsidRDefault="009A6C1A" w:rsidP="00637D69">
            <w:pPr>
              <w:jc w:val="both"/>
              <w:rPr>
                <w:rFonts w:eastAsia="Times New Roman" w:cs="Arial"/>
                <w:color w:val="000000"/>
                <w:sz w:val="20"/>
                <w:szCs w:val="20"/>
                <w:lang w:eastAsia="en-ZA"/>
              </w:rPr>
            </w:pPr>
            <w:r w:rsidRPr="00137329">
              <w:rPr>
                <w:rFonts w:eastAsia="Times New Roman" w:cs="Arial"/>
                <w:color w:val="000000"/>
                <w:sz w:val="20"/>
                <w:szCs w:val="20"/>
                <w:lang w:eastAsia="en-ZA"/>
              </w:rPr>
              <w:t>Proven</w:t>
            </w:r>
          </w:p>
        </w:tc>
        <w:tc>
          <w:tcPr>
            <w:tcW w:w="670" w:type="pct"/>
            <w:hideMark/>
          </w:tcPr>
          <w:p w14:paraId="53F6F415"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22.58</w:t>
            </w:r>
          </w:p>
        </w:tc>
        <w:tc>
          <w:tcPr>
            <w:tcW w:w="670" w:type="pct"/>
            <w:hideMark/>
          </w:tcPr>
          <w:p w14:paraId="43FEBCDE"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0.34</w:t>
            </w:r>
          </w:p>
        </w:tc>
        <w:tc>
          <w:tcPr>
            <w:tcW w:w="670" w:type="pct"/>
            <w:hideMark/>
          </w:tcPr>
          <w:p w14:paraId="1EA0786D"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0.29%</w:t>
            </w:r>
          </w:p>
        </w:tc>
        <w:tc>
          <w:tcPr>
            <w:tcW w:w="670" w:type="pct"/>
            <w:shd w:val="clear" w:color="auto" w:fill="auto"/>
            <w:hideMark/>
          </w:tcPr>
          <w:p w14:paraId="0D38B708"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243.3</w:t>
            </w:r>
          </w:p>
        </w:tc>
        <w:tc>
          <w:tcPr>
            <w:tcW w:w="672" w:type="pct"/>
            <w:hideMark/>
          </w:tcPr>
          <w:p w14:paraId="53D261AE"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67,005.8</w:t>
            </w:r>
          </w:p>
        </w:tc>
      </w:tr>
      <w:tr w:rsidR="009A6C1A" w:rsidRPr="00137329" w14:paraId="1FCF436E" w14:textId="77777777" w:rsidTr="00637D69">
        <w:trPr>
          <w:trHeight w:val="20"/>
        </w:trPr>
        <w:tc>
          <w:tcPr>
            <w:tcW w:w="705" w:type="pct"/>
            <w:vMerge/>
            <w:hideMark/>
          </w:tcPr>
          <w:p w14:paraId="43200462" w14:textId="77777777" w:rsidR="009A6C1A" w:rsidRPr="00137329" w:rsidRDefault="009A6C1A" w:rsidP="00637D69">
            <w:pPr>
              <w:rPr>
                <w:rFonts w:eastAsia="Times New Roman" w:cs="Arial"/>
                <w:color w:val="000000"/>
                <w:sz w:val="20"/>
                <w:szCs w:val="20"/>
                <w:lang w:eastAsia="en-ZA"/>
              </w:rPr>
            </w:pPr>
          </w:p>
        </w:tc>
        <w:tc>
          <w:tcPr>
            <w:tcW w:w="943" w:type="pct"/>
            <w:hideMark/>
          </w:tcPr>
          <w:p w14:paraId="3E54F353" w14:textId="77777777" w:rsidR="009A6C1A" w:rsidRPr="00137329" w:rsidRDefault="009A6C1A" w:rsidP="00637D69">
            <w:pPr>
              <w:jc w:val="both"/>
              <w:rPr>
                <w:rFonts w:eastAsia="Times New Roman" w:cs="Arial"/>
                <w:color w:val="000000"/>
                <w:sz w:val="20"/>
                <w:szCs w:val="20"/>
                <w:lang w:eastAsia="en-ZA"/>
              </w:rPr>
            </w:pPr>
            <w:r w:rsidRPr="00137329">
              <w:rPr>
                <w:rFonts w:eastAsia="Times New Roman" w:cs="Arial"/>
                <w:color w:val="000000"/>
                <w:sz w:val="20"/>
                <w:szCs w:val="20"/>
                <w:lang w:eastAsia="en-ZA"/>
              </w:rPr>
              <w:t>Probable</w:t>
            </w:r>
          </w:p>
        </w:tc>
        <w:tc>
          <w:tcPr>
            <w:tcW w:w="670" w:type="pct"/>
            <w:hideMark/>
          </w:tcPr>
          <w:p w14:paraId="5C079B2E"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27.13</w:t>
            </w:r>
          </w:p>
        </w:tc>
        <w:tc>
          <w:tcPr>
            <w:tcW w:w="670" w:type="pct"/>
            <w:hideMark/>
          </w:tcPr>
          <w:p w14:paraId="2AD9205C"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0.24</w:t>
            </w:r>
          </w:p>
        </w:tc>
        <w:tc>
          <w:tcPr>
            <w:tcW w:w="670" w:type="pct"/>
            <w:hideMark/>
          </w:tcPr>
          <w:p w14:paraId="66BB2B6F"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0.22%</w:t>
            </w:r>
          </w:p>
        </w:tc>
        <w:tc>
          <w:tcPr>
            <w:tcW w:w="670" w:type="pct"/>
            <w:shd w:val="clear" w:color="auto" w:fill="auto"/>
            <w:hideMark/>
          </w:tcPr>
          <w:p w14:paraId="357E1C23"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211.6</w:t>
            </w:r>
          </w:p>
        </w:tc>
        <w:tc>
          <w:tcPr>
            <w:tcW w:w="672" w:type="pct"/>
            <w:hideMark/>
          </w:tcPr>
          <w:p w14:paraId="420A4A40"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60,166.7</w:t>
            </w:r>
          </w:p>
        </w:tc>
      </w:tr>
      <w:tr w:rsidR="009A6C1A" w:rsidRPr="00137329" w14:paraId="25B0D225" w14:textId="77777777" w:rsidTr="00637D69">
        <w:trPr>
          <w:trHeight w:val="20"/>
        </w:trPr>
        <w:tc>
          <w:tcPr>
            <w:tcW w:w="705" w:type="pct"/>
            <w:vMerge w:val="restart"/>
            <w:hideMark/>
          </w:tcPr>
          <w:p w14:paraId="6D5AA60E" w14:textId="77777777" w:rsidR="009A6C1A" w:rsidRPr="00137329" w:rsidRDefault="009A6C1A" w:rsidP="00637D69">
            <w:pPr>
              <w:jc w:val="left"/>
              <w:rPr>
                <w:rFonts w:eastAsia="Times New Roman" w:cs="Arial"/>
                <w:color w:val="000000"/>
                <w:sz w:val="20"/>
                <w:szCs w:val="20"/>
                <w:lang w:eastAsia="en-ZA"/>
              </w:rPr>
            </w:pPr>
            <w:r w:rsidRPr="00137329">
              <w:rPr>
                <w:rFonts w:eastAsia="Times New Roman" w:cs="Arial"/>
                <w:color w:val="000000"/>
                <w:sz w:val="20"/>
                <w:szCs w:val="20"/>
                <w:lang w:eastAsia="en-ZA"/>
              </w:rPr>
              <w:t>Colnic &amp; Rovina</w:t>
            </w:r>
          </w:p>
        </w:tc>
        <w:tc>
          <w:tcPr>
            <w:tcW w:w="943" w:type="pct"/>
            <w:hideMark/>
          </w:tcPr>
          <w:p w14:paraId="49A151C9" w14:textId="77777777" w:rsidR="009A6C1A" w:rsidRPr="00137329" w:rsidRDefault="009A6C1A" w:rsidP="00637D69">
            <w:pPr>
              <w:jc w:val="both"/>
              <w:rPr>
                <w:rFonts w:eastAsia="Times New Roman" w:cs="Arial"/>
                <w:color w:val="000000"/>
                <w:sz w:val="20"/>
                <w:szCs w:val="20"/>
                <w:lang w:eastAsia="en-ZA"/>
              </w:rPr>
            </w:pPr>
            <w:r w:rsidRPr="00137329">
              <w:rPr>
                <w:rFonts w:eastAsia="Times New Roman" w:cs="Arial"/>
                <w:color w:val="000000"/>
                <w:sz w:val="20"/>
                <w:szCs w:val="20"/>
                <w:lang w:eastAsia="en-ZA"/>
              </w:rPr>
              <w:t>Proven</w:t>
            </w:r>
          </w:p>
        </w:tc>
        <w:tc>
          <w:tcPr>
            <w:tcW w:w="670" w:type="pct"/>
            <w:hideMark/>
          </w:tcPr>
          <w:p w14:paraId="4CCB58AC"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48.18</w:t>
            </w:r>
          </w:p>
        </w:tc>
        <w:tc>
          <w:tcPr>
            <w:tcW w:w="670" w:type="pct"/>
            <w:hideMark/>
          </w:tcPr>
          <w:p w14:paraId="3015915B"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0.50</w:t>
            </w:r>
          </w:p>
        </w:tc>
        <w:tc>
          <w:tcPr>
            <w:tcW w:w="670" w:type="pct"/>
            <w:hideMark/>
          </w:tcPr>
          <w:p w14:paraId="467625DA"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0.20%</w:t>
            </w:r>
          </w:p>
        </w:tc>
        <w:tc>
          <w:tcPr>
            <w:tcW w:w="670" w:type="pct"/>
            <w:shd w:val="clear" w:color="auto" w:fill="auto"/>
            <w:hideMark/>
          </w:tcPr>
          <w:p w14:paraId="3D96F536"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778.3</w:t>
            </w:r>
          </w:p>
        </w:tc>
        <w:tc>
          <w:tcPr>
            <w:tcW w:w="672" w:type="pct"/>
            <w:hideMark/>
          </w:tcPr>
          <w:p w14:paraId="6349EA5D"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94,164.6</w:t>
            </w:r>
          </w:p>
        </w:tc>
      </w:tr>
      <w:tr w:rsidR="009A6C1A" w:rsidRPr="00137329" w14:paraId="46DCC3D4" w14:textId="77777777" w:rsidTr="00637D69">
        <w:trPr>
          <w:trHeight w:val="20"/>
        </w:trPr>
        <w:tc>
          <w:tcPr>
            <w:tcW w:w="705" w:type="pct"/>
            <w:vMerge/>
            <w:hideMark/>
          </w:tcPr>
          <w:p w14:paraId="0B7A9F8D" w14:textId="77777777" w:rsidR="009A6C1A" w:rsidRPr="00137329" w:rsidRDefault="009A6C1A" w:rsidP="00637D69">
            <w:pPr>
              <w:rPr>
                <w:rFonts w:eastAsia="Times New Roman" w:cs="Arial"/>
                <w:color w:val="000000"/>
                <w:sz w:val="20"/>
                <w:szCs w:val="20"/>
                <w:lang w:eastAsia="en-ZA"/>
              </w:rPr>
            </w:pPr>
          </w:p>
        </w:tc>
        <w:tc>
          <w:tcPr>
            <w:tcW w:w="943" w:type="pct"/>
            <w:hideMark/>
          </w:tcPr>
          <w:p w14:paraId="7A4789FC" w14:textId="77777777" w:rsidR="009A6C1A" w:rsidRPr="00137329" w:rsidRDefault="009A6C1A" w:rsidP="00637D69">
            <w:pPr>
              <w:jc w:val="both"/>
              <w:rPr>
                <w:rFonts w:eastAsia="Times New Roman" w:cs="Arial"/>
                <w:color w:val="000000"/>
                <w:sz w:val="20"/>
                <w:szCs w:val="20"/>
                <w:lang w:eastAsia="en-ZA"/>
              </w:rPr>
            </w:pPr>
            <w:r w:rsidRPr="00137329">
              <w:rPr>
                <w:rFonts w:eastAsia="Times New Roman" w:cs="Arial"/>
                <w:color w:val="000000"/>
                <w:sz w:val="20"/>
                <w:szCs w:val="20"/>
                <w:lang w:eastAsia="en-ZA"/>
              </w:rPr>
              <w:t>Probable</w:t>
            </w:r>
          </w:p>
        </w:tc>
        <w:tc>
          <w:tcPr>
            <w:tcW w:w="670" w:type="pct"/>
            <w:hideMark/>
          </w:tcPr>
          <w:p w14:paraId="2585775E"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75.12</w:t>
            </w:r>
          </w:p>
        </w:tc>
        <w:tc>
          <w:tcPr>
            <w:tcW w:w="670" w:type="pct"/>
            <w:hideMark/>
          </w:tcPr>
          <w:p w14:paraId="0C411D81"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0.44</w:t>
            </w:r>
          </w:p>
        </w:tc>
        <w:tc>
          <w:tcPr>
            <w:tcW w:w="670" w:type="pct"/>
            <w:hideMark/>
          </w:tcPr>
          <w:p w14:paraId="391594DD"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0.14%</w:t>
            </w:r>
          </w:p>
        </w:tc>
        <w:tc>
          <w:tcPr>
            <w:tcW w:w="670" w:type="pct"/>
            <w:shd w:val="clear" w:color="auto" w:fill="auto"/>
            <w:hideMark/>
          </w:tcPr>
          <w:p w14:paraId="0BFCA234" w14:textId="02CCF58F"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1</w:t>
            </w:r>
            <w:r w:rsidR="00091A24">
              <w:rPr>
                <w:rFonts w:eastAsia="Times New Roman" w:cs="Arial"/>
                <w:color w:val="000000"/>
                <w:sz w:val="20"/>
                <w:szCs w:val="20"/>
                <w:lang w:eastAsia="en-ZA"/>
              </w:rPr>
              <w:t>,</w:t>
            </w:r>
            <w:r w:rsidRPr="00137329">
              <w:rPr>
                <w:rFonts w:eastAsia="Times New Roman" w:cs="Arial"/>
                <w:color w:val="000000"/>
                <w:sz w:val="20"/>
                <w:szCs w:val="20"/>
                <w:lang w:eastAsia="en-ZA"/>
              </w:rPr>
              <w:t>060.2</w:t>
            </w:r>
          </w:p>
        </w:tc>
        <w:tc>
          <w:tcPr>
            <w:tcW w:w="672" w:type="pct"/>
            <w:hideMark/>
          </w:tcPr>
          <w:p w14:paraId="75E7560A" w14:textId="77777777" w:rsidR="009A6C1A" w:rsidRPr="00137329" w:rsidRDefault="009A6C1A" w:rsidP="00637D69">
            <w:pPr>
              <w:rPr>
                <w:rFonts w:eastAsia="Times New Roman" w:cs="Arial"/>
                <w:color w:val="000000"/>
                <w:sz w:val="20"/>
                <w:szCs w:val="20"/>
                <w:lang w:eastAsia="en-ZA"/>
              </w:rPr>
            </w:pPr>
            <w:r w:rsidRPr="00137329">
              <w:rPr>
                <w:rFonts w:eastAsia="Times New Roman" w:cs="Arial"/>
                <w:color w:val="000000"/>
                <w:sz w:val="20"/>
                <w:szCs w:val="20"/>
                <w:lang w:eastAsia="en-ZA"/>
              </w:rPr>
              <w:t>103,357.2</w:t>
            </w:r>
          </w:p>
        </w:tc>
      </w:tr>
      <w:tr w:rsidR="009A6C1A" w:rsidRPr="00137329" w14:paraId="108834C3" w14:textId="77777777" w:rsidTr="00637D69">
        <w:trPr>
          <w:trHeight w:val="20"/>
        </w:trPr>
        <w:tc>
          <w:tcPr>
            <w:tcW w:w="705" w:type="pct"/>
            <w:hideMark/>
          </w:tcPr>
          <w:p w14:paraId="1E518225" w14:textId="77777777" w:rsidR="009A6C1A" w:rsidRPr="00137329" w:rsidRDefault="009A6C1A" w:rsidP="00637D69">
            <w:pPr>
              <w:jc w:val="both"/>
              <w:rPr>
                <w:rFonts w:eastAsia="Times New Roman" w:cs="Arial"/>
                <w:b/>
                <w:bCs/>
                <w:color w:val="000000"/>
                <w:sz w:val="20"/>
                <w:szCs w:val="20"/>
                <w:lang w:eastAsia="en-ZA"/>
              </w:rPr>
            </w:pPr>
            <w:r w:rsidRPr="00137329">
              <w:rPr>
                <w:rFonts w:eastAsia="Times New Roman" w:cs="Arial"/>
                <w:b/>
                <w:bCs/>
                <w:color w:val="000000"/>
                <w:sz w:val="20"/>
                <w:szCs w:val="20"/>
                <w:lang w:eastAsia="en-ZA"/>
              </w:rPr>
              <w:t>Total</w:t>
            </w:r>
          </w:p>
        </w:tc>
        <w:tc>
          <w:tcPr>
            <w:tcW w:w="943" w:type="pct"/>
            <w:hideMark/>
          </w:tcPr>
          <w:p w14:paraId="37FA8F06" w14:textId="77777777" w:rsidR="009A6C1A" w:rsidRPr="00137329" w:rsidRDefault="009A6C1A" w:rsidP="00637D69">
            <w:pPr>
              <w:jc w:val="left"/>
              <w:rPr>
                <w:rFonts w:eastAsia="Times New Roman" w:cs="Arial"/>
                <w:b/>
                <w:bCs/>
                <w:color w:val="000000"/>
                <w:sz w:val="20"/>
                <w:szCs w:val="20"/>
                <w:lang w:eastAsia="en-ZA"/>
              </w:rPr>
            </w:pPr>
            <w:r w:rsidRPr="00137329">
              <w:rPr>
                <w:rFonts w:eastAsia="Times New Roman" w:cs="Arial"/>
                <w:b/>
                <w:bCs/>
                <w:color w:val="000000"/>
                <w:sz w:val="20"/>
                <w:szCs w:val="20"/>
                <w:lang w:eastAsia="en-ZA"/>
              </w:rPr>
              <w:t>Proven &amp; Probable</w:t>
            </w:r>
          </w:p>
        </w:tc>
        <w:tc>
          <w:tcPr>
            <w:tcW w:w="670" w:type="pct"/>
            <w:hideMark/>
          </w:tcPr>
          <w:p w14:paraId="224D9AE5" w14:textId="77777777" w:rsidR="009A6C1A" w:rsidRPr="00137329" w:rsidRDefault="009A6C1A" w:rsidP="00637D69">
            <w:pPr>
              <w:rPr>
                <w:rFonts w:eastAsia="Times New Roman" w:cs="Arial"/>
                <w:b/>
                <w:bCs/>
                <w:color w:val="000000"/>
                <w:sz w:val="20"/>
                <w:szCs w:val="20"/>
                <w:lang w:eastAsia="en-ZA"/>
              </w:rPr>
            </w:pPr>
            <w:r w:rsidRPr="00137329">
              <w:rPr>
                <w:rFonts w:eastAsia="Times New Roman" w:cs="Arial"/>
                <w:b/>
                <w:bCs/>
                <w:color w:val="000000"/>
                <w:sz w:val="20"/>
                <w:szCs w:val="20"/>
                <w:lang w:eastAsia="en-ZA"/>
              </w:rPr>
              <w:t>123.30</w:t>
            </w:r>
          </w:p>
        </w:tc>
        <w:tc>
          <w:tcPr>
            <w:tcW w:w="670" w:type="pct"/>
            <w:hideMark/>
          </w:tcPr>
          <w:p w14:paraId="163C0222" w14:textId="77777777" w:rsidR="009A6C1A" w:rsidRPr="00137329" w:rsidRDefault="009A6C1A" w:rsidP="00637D69">
            <w:pPr>
              <w:rPr>
                <w:rFonts w:eastAsia="Times New Roman" w:cs="Arial"/>
                <w:b/>
                <w:bCs/>
                <w:color w:val="000000"/>
                <w:sz w:val="20"/>
                <w:szCs w:val="20"/>
                <w:lang w:eastAsia="en-ZA"/>
              </w:rPr>
            </w:pPr>
            <w:r w:rsidRPr="00137329">
              <w:rPr>
                <w:rFonts w:eastAsia="Times New Roman" w:cs="Arial"/>
                <w:b/>
                <w:bCs/>
                <w:color w:val="000000"/>
                <w:sz w:val="20"/>
                <w:szCs w:val="20"/>
                <w:lang w:eastAsia="en-ZA"/>
              </w:rPr>
              <w:t>0.47</w:t>
            </w:r>
          </w:p>
        </w:tc>
        <w:tc>
          <w:tcPr>
            <w:tcW w:w="670" w:type="pct"/>
            <w:hideMark/>
          </w:tcPr>
          <w:p w14:paraId="172A9C02" w14:textId="77777777" w:rsidR="009A6C1A" w:rsidRPr="00137329" w:rsidRDefault="009A6C1A" w:rsidP="00637D69">
            <w:pPr>
              <w:rPr>
                <w:rFonts w:eastAsia="Times New Roman" w:cs="Arial"/>
                <w:b/>
                <w:bCs/>
                <w:color w:val="000000"/>
                <w:sz w:val="20"/>
                <w:szCs w:val="20"/>
                <w:lang w:eastAsia="en-ZA"/>
              </w:rPr>
            </w:pPr>
            <w:r w:rsidRPr="00137329">
              <w:rPr>
                <w:rFonts w:eastAsia="Times New Roman" w:cs="Arial"/>
                <w:b/>
                <w:bCs/>
                <w:color w:val="000000"/>
                <w:sz w:val="20"/>
                <w:szCs w:val="20"/>
                <w:lang w:eastAsia="en-ZA"/>
              </w:rPr>
              <w:t>0.16%</w:t>
            </w:r>
          </w:p>
        </w:tc>
        <w:tc>
          <w:tcPr>
            <w:tcW w:w="670" w:type="pct"/>
            <w:shd w:val="clear" w:color="auto" w:fill="auto"/>
            <w:hideMark/>
          </w:tcPr>
          <w:p w14:paraId="58AFC168" w14:textId="48162FE2" w:rsidR="009A6C1A" w:rsidRPr="00137329" w:rsidRDefault="009A6C1A" w:rsidP="00637D69">
            <w:pPr>
              <w:rPr>
                <w:rFonts w:eastAsia="Times New Roman" w:cs="Arial"/>
                <w:b/>
                <w:bCs/>
                <w:color w:val="000000"/>
                <w:sz w:val="20"/>
                <w:szCs w:val="20"/>
                <w:lang w:eastAsia="en-ZA"/>
              </w:rPr>
            </w:pPr>
            <w:r w:rsidRPr="00137329">
              <w:rPr>
                <w:rFonts w:eastAsia="Times New Roman" w:cs="Arial"/>
                <w:b/>
                <w:bCs/>
                <w:color w:val="000000"/>
                <w:sz w:val="20"/>
                <w:szCs w:val="20"/>
                <w:lang w:eastAsia="en-ZA"/>
              </w:rPr>
              <w:t>1</w:t>
            </w:r>
            <w:r w:rsidR="00091A24">
              <w:rPr>
                <w:rFonts w:eastAsia="Times New Roman" w:cs="Arial"/>
                <w:b/>
                <w:bCs/>
                <w:color w:val="000000"/>
                <w:sz w:val="20"/>
                <w:szCs w:val="20"/>
                <w:lang w:eastAsia="en-ZA"/>
              </w:rPr>
              <w:t>,</w:t>
            </w:r>
            <w:r w:rsidRPr="00137329">
              <w:rPr>
                <w:rFonts w:eastAsia="Times New Roman" w:cs="Arial"/>
                <w:b/>
                <w:bCs/>
                <w:color w:val="000000"/>
                <w:sz w:val="20"/>
                <w:szCs w:val="20"/>
                <w:lang w:eastAsia="en-ZA"/>
              </w:rPr>
              <w:t>838.5</w:t>
            </w:r>
          </w:p>
        </w:tc>
        <w:tc>
          <w:tcPr>
            <w:tcW w:w="672" w:type="pct"/>
            <w:hideMark/>
          </w:tcPr>
          <w:p w14:paraId="699B93F6" w14:textId="77777777" w:rsidR="009A6C1A" w:rsidRPr="00137329" w:rsidRDefault="009A6C1A" w:rsidP="00637D69">
            <w:pPr>
              <w:rPr>
                <w:rFonts w:eastAsia="Times New Roman" w:cs="Arial"/>
                <w:b/>
                <w:bCs/>
                <w:color w:val="000000"/>
                <w:sz w:val="20"/>
                <w:szCs w:val="20"/>
                <w:lang w:eastAsia="en-ZA"/>
              </w:rPr>
            </w:pPr>
            <w:r w:rsidRPr="00137329">
              <w:rPr>
                <w:rFonts w:eastAsia="Times New Roman" w:cs="Arial"/>
                <w:b/>
                <w:bCs/>
                <w:color w:val="000000"/>
                <w:sz w:val="20"/>
                <w:szCs w:val="20"/>
                <w:lang w:eastAsia="en-ZA"/>
              </w:rPr>
              <w:t>197,522</w:t>
            </w:r>
          </w:p>
        </w:tc>
      </w:tr>
    </w:tbl>
    <w:p w14:paraId="545CE1FF" w14:textId="77777777" w:rsidR="009A6C1A" w:rsidRPr="00137329" w:rsidRDefault="009A6C1A" w:rsidP="009A6C1A">
      <w:pPr>
        <w:rPr>
          <w:lang w:val="en-GB"/>
        </w:rPr>
      </w:pPr>
      <w:r w:rsidRPr="00137329">
        <w:rPr>
          <w:lang w:val="en-GB"/>
        </w:rPr>
        <w:t xml:space="preserve">The Mineral reserve estimate uses a base gold price of $1,550/oz and a base copper price of $3.30/lb </w:t>
      </w:r>
    </w:p>
    <w:p w14:paraId="0A56E695" w14:textId="77777777" w:rsidR="009A6C1A" w:rsidRPr="00137329" w:rsidRDefault="009A6C1A" w:rsidP="009A6C1A">
      <w:pPr>
        <w:pStyle w:val="paragraph"/>
        <w:spacing w:before="0" w:beforeAutospacing="0" w:after="0" w:afterAutospacing="0"/>
        <w:jc w:val="both"/>
        <w:textAlignment w:val="baseline"/>
        <w:rPr>
          <w:rStyle w:val="normaltextrun"/>
          <w:rFonts w:ascii="Arial" w:hAnsi="Arial" w:cs="Arial"/>
          <w:b/>
          <w:bCs/>
          <w:i/>
          <w:iCs/>
          <w:sz w:val="20"/>
          <w:szCs w:val="20"/>
          <w:lang w:val="en-GB"/>
        </w:rPr>
      </w:pPr>
    </w:p>
    <w:p w14:paraId="42D887AB" w14:textId="5ACA4ECA" w:rsidR="009A6C1A" w:rsidRPr="00137329" w:rsidRDefault="009A6C1A" w:rsidP="009A6C1A">
      <w:pPr>
        <w:pStyle w:val="paragraph"/>
        <w:spacing w:before="0" w:beforeAutospacing="0" w:after="0" w:afterAutospacing="0"/>
        <w:jc w:val="both"/>
        <w:textAlignment w:val="baseline"/>
        <w:rPr>
          <w:rStyle w:val="normaltextrun"/>
          <w:rFonts w:ascii="Arial" w:hAnsi="Arial" w:cs="Arial"/>
          <w:i/>
          <w:iCs/>
          <w:sz w:val="20"/>
          <w:szCs w:val="20"/>
          <w:lang w:val="en-GB"/>
        </w:rPr>
      </w:pPr>
      <w:r w:rsidRPr="00137329">
        <w:rPr>
          <w:rStyle w:val="normaltextrun"/>
          <w:rFonts w:ascii="Arial" w:hAnsi="Arial" w:cs="Arial"/>
          <w:b/>
          <w:bCs/>
          <w:i/>
          <w:iCs/>
          <w:sz w:val="20"/>
          <w:szCs w:val="20"/>
          <w:lang w:val="en-GB"/>
        </w:rPr>
        <w:lastRenderedPageBreak/>
        <w:t>Notes</w:t>
      </w:r>
      <w:r w:rsidR="001936B6">
        <w:rPr>
          <w:rStyle w:val="normaltextrun"/>
          <w:rFonts w:ascii="Arial" w:hAnsi="Arial" w:cs="Arial"/>
          <w:b/>
          <w:bCs/>
          <w:i/>
          <w:iCs/>
          <w:sz w:val="20"/>
          <w:szCs w:val="20"/>
          <w:lang w:val="en-GB"/>
        </w:rPr>
        <w:t>:</w:t>
      </w:r>
      <w:r w:rsidRPr="00137329">
        <w:rPr>
          <w:rStyle w:val="normaltextrun"/>
          <w:rFonts w:ascii="Arial" w:hAnsi="Arial" w:cs="Arial"/>
          <w:i/>
          <w:iCs/>
          <w:sz w:val="20"/>
          <w:szCs w:val="20"/>
          <w:lang w:val="en-GB"/>
        </w:rPr>
        <w:t xml:space="preserve"> </w:t>
      </w:r>
    </w:p>
    <w:p w14:paraId="07D9850A" w14:textId="77777777" w:rsidR="009A6C1A" w:rsidRPr="00137329" w:rsidRDefault="009A6C1A" w:rsidP="009A6C1A">
      <w:pPr>
        <w:pStyle w:val="paragraph"/>
        <w:numPr>
          <w:ilvl w:val="0"/>
          <w:numId w:val="21"/>
        </w:numPr>
        <w:spacing w:before="0" w:beforeAutospacing="0" w:after="0" w:afterAutospacing="0"/>
        <w:jc w:val="both"/>
        <w:textAlignment w:val="baseline"/>
        <w:rPr>
          <w:rStyle w:val="eop"/>
          <w:rFonts w:ascii="Segoe UI" w:hAnsi="Segoe UI" w:cs="Segoe UI"/>
          <w:i/>
          <w:iCs/>
          <w:sz w:val="18"/>
          <w:szCs w:val="18"/>
        </w:rPr>
      </w:pPr>
      <w:r w:rsidRPr="00137329">
        <w:rPr>
          <w:rStyle w:val="normaltextrun"/>
          <w:rFonts w:ascii="Arial" w:hAnsi="Arial" w:cs="Arial"/>
          <w:i/>
          <w:iCs/>
          <w:sz w:val="18"/>
          <w:szCs w:val="18"/>
          <w:lang w:val="en-GB"/>
        </w:rPr>
        <w:t>All tonnes quoted are dry tonnes. Differences in the addition of deposit tonnes to the total displayed is due to rounding.</w:t>
      </w:r>
    </w:p>
    <w:p w14:paraId="3ED182E9" w14:textId="77777777" w:rsidR="009A6C1A" w:rsidRPr="00137329" w:rsidRDefault="009A6C1A" w:rsidP="009A6C1A">
      <w:pPr>
        <w:pStyle w:val="paragraph"/>
        <w:numPr>
          <w:ilvl w:val="0"/>
          <w:numId w:val="21"/>
        </w:numPr>
        <w:spacing w:before="0" w:beforeAutospacing="0" w:after="0" w:afterAutospacing="0"/>
        <w:jc w:val="both"/>
        <w:textAlignment w:val="baseline"/>
        <w:rPr>
          <w:rStyle w:val="normaltextrun"/>
          <w:rFonts w:ascii="Arial" w:hAnsi="Arial" w:cs="Arial"/>
          <w:i/>
          <w:iCs/>
          <w:sz w:val="18"/>
          <w:szCs w:val="18"/>
          <w:lang w:val="en-GB"/>
        </w:rPr>
      </w:pPr>
      <w:r w:rsidRPr="00137329">
        <w:rPr>
          <w:rStyle w:val="normaltextrun"/>
          <w:rFonts w:ascii="Arial" w:hAnsi="Arial" w:cs="Arial"/>
          <w:i/>
          <w:iCs/>
          <w:sz w:val="18"/>
          <w:szCs w:val="18"/>
          <w:lang w:val="en-GB"/>
        </w:rPr>
        <w:t xml:space="preserve">The estimate of Rovina Valley Gold Project Mineral Reserves </w:t>
      </w:r>
      <w:proofErr w:type="gramStart"/>
      <w:r w:rsidRPr="00137329">
        <w:rPr>
          <w:rStyle w:val="normaltextrun"/>
          <w:rFonts w:ascii="Arial" w:hAnsi="Arial" w:cs="Arial"/>
          <w:i/>
          <w:iCs/>
          <w:sz w:val="18"/>
          <w:szCs w:val="18"/>
          <w:lang w:val="en-GB"/>
        </w:rPr>
        <w:t>are</w:t>
      </w:r>
      <w:proofErr w:type="gramEnd"/>
      <w:r w:rsidRPr="00137329">
        <w:rPr>
          <w:rStyle w:val="normaltextrun"/>
          <w:rFonts w:ascii="Arial" w:hAnsi="Arial" w:cs="Arial"/>
          <w:i/>
          <w:iCs/>
          <w:sz w:val="18"/>
          <w:szCs w:val="18"/>
          <w:lang w:val="en-GB"/>
        </w:rPr>
        <w:t xml:space="preserve"> not at this stage materially affected by any known environmental, permitting, legal, title, taxation, socioeconomic, marketing, political, or other relevant issue. Furthermore, the estimate of Project Reserves is not materially affected by any known mining, metallurgical, infrastructure, or other relevant factor.</w:t>
      </w:r>
    </w:p>
    <w:p w14:paraId="0697F9EB" w14:textId="41C2FDC7" w:rsidR="009A6C1A" w:rsidRPr="00CE62E8" w:rsidRDefault="009A6C1A" w:rsidP="009A6C1A">
      <w:pPr>
        <w:pStyle w:val="paragraph"/>
        <w:numPr>
          <w:ilvl w:val="0"/>
          <w:numId w:val="21"/>
        </w:numPr>
        <w:spacing w:before="0" w:beforeAutospacing="0" w:after="0" w:afterAutospacing="0"/>
        <w:jc w:val="both"/>
        <w:textAlignment w:val="baseline"/>
        <w:rPr>
          <w:rStyle w:val="normaltextrun"/>
          <w:rFonts w:ascii="Arial" w:hAnsi="Arial" w:cs="Arial"/>
          <w:i/>
          <w:iCs/>
          <w:sz w:val="18"/>
          <w:szCs w:val="18"/>
          <w:lang w:val="en-GB"/>
        </w:rPr>
      </w:pPr>
      <w:r w:rsidRPr="00137329">
        <w:rPr>
          <w:rStyle w:val="normaltextrun"/>
          <w:rFonts w:ascii="Arial" w:hAnsi="Arial" w:cs="Arial"/>
          <w:i/>
          <w:iCs/>
          <w:sz w:val="18"/>
          <w:szCs w:val="18"/>
        </w:rPr>
        <w:t xml:space="preserve">Mineral Reserve estimates follow the Canadian Institute of Mining, Metallurgy and Petroleum ("CIM") definitions standards for Mineral Resources and Reserves and have been completed in accordance with </w:t>
      </w:r>
      <w:r w:rsidR="000A229E">
        <w:rPr>
          <w:rStyle w:val="normaltextrun"/>
          <w:rFonts w:ascii="Arial" w:hAnsi="Arial" w:cs="Arial"/>
          <w:i/>
          <w:iCs/>
          <w:sz w:val="18"/>
          <w:szCs w:val="18"/>
        </w:rPr>
        <w:t>NI 43-101</w:t>
      </w:r>
      <w:r w:rsidRPr="00137329">
        <w:rPr>
          <w:rStyle w:val="normaltextrun"/>
          <w:rFonts w:ascii="Arial" w:hAnsi="Arial" w:cs="Arial"/>
          <w:i/>
          <w:iCs/>
          <w:sz w:val="18"/>
          <w:szCs w:val="18"/>
        </w:rPr>
        <w:t>.</w:t>
      </w:r>
    </w:p>
    <w:p w14:paraId="708E87B8" w14:textId="69C96DA8" w:rsidR="00CE62E8" w:rsidRPr="00137329" w:rsidRDefault="00CE62E8" w:rsidP="009A6C1A">
      <w:pPr>
        <w:pStyle w:val="paragraph"/>
        <w:numPr>
          <w:ilvl w:val="0"/>
          <w:numId w:val="21"/>
        </w:numPr>
        <w:spacing w:before="0" w:beforeAutospacing="0" w:after="0" w:afterAutospacing="0"/>
        <w:jc w:val="both"/>
        <w:textAlignment w:val="baseline"/>
        <w:rPr>
          <w:rStyle w:val="normaltextrun"/>
          <w:rFonts w:ascii="Arial" w:hAnsi="Arial" w:cs="Arial"/>
          <w:i/>
          <w:iCs/>
          <w:sz w:val="18"/>
          <w:szCs w:val="18"/>
          <w:lang w:val="en-GB"/>
        </w:rPr>
      </w:pPr>
      <w:r>
        <w:rPr>
          <w:rStyle w:val="normaltextrun"/>
          <w:rFonts w:ascii="Arial" w:hAnsi="Arial" w:cs="Arial"/>
          <w:i/>
          <w:iCs/>
          <w:sz w:val="18"/>
          <w:szCs w:val="18"/>
        </w:rPr>
        <w:t xml:space="preserve">Effective date of reserves </w:t>
      </w:r>
      <w:proofErr w:type="gramStart"/>
      <w:r>
        <w:rPr>
          <w:rStyle w:val="normaltextrun"/>
          <w:rFonts w:ascii="Arial" w:hAnsi="Arial" w:cs="Arial"/>
          <w:i/>
          <w:iCs/>
          <w:sz w:val="18"/>
          <w:szCs w:val="18"/>
        </w:rPr>
        <w:t>are</w:t>
      </w:r>
      <w:proofErr w:type="gramEnd"/>
      <w:r>
        <w:rPr>
          <w:rStyle w:val="normaltextrun"/>
          <w:rFonts w:ascii="Arial" w:hAnsi="Arial" w:cs="Arial"/>
          <w:i/>
          <w:iCs/>
          <w:sz w:val="18"/>
          <w:szCs w:val="18"/>
        </w:rPr>
        <w:t xml:space="preserve"> </w:t>
      </w:r>
      <w:r w:rsidR="004B3D57">
        <w:rPr>
          <w:rStyle w:val="normaltextrun"/>
          <w:rFonts w:ascii="Arial" w:hAnsi="Arial" w:cs="Arial"/>
          <w:i/>
          <w:iCs/>
          <w:sz w:val="18"/>
          <w:szCs w:val="18"/>
        </w:rPr>
        <w:t>January 31, 2022</w:t>
      </w:r>
    </w:p>
    <w:bookmarkEnd w:id="3"/>
    <w:p w14:paraId="0F5B549C" w14:textId="77777777" w:rsidR="009A6C1A" w:rsidRDefault="009A6C1A" w:rsidP="009A6C1A">
      <w:pPr>
        <w:rPr>
          <w:rFonts w:ascii="Arial" w:hAnsi="Arial" w:cs="Arial"/>
          <w:b/>
          <w:bCs/>
          <w:color w:val="000000"/>
          <w:lang w:val="en-GB"/>
        </w:rPr>
      </w:pPr>
    </w:p>
    <w:p w14:paraId="7CFAF7A6" w14:textId="43558AB6" w:rsidR="009A6C1A" w:rsidRPr="00D84DA7" w:rsidRDefault="009A6C1A" w:rsidP="00040CE5">
      <w:pPr>
        <w:pStyle w:val="Caption"/>
        <w:jc w:val="left"/>
      </w:pPr>
      <w:r w:rsidRPr="00D84DA7">
        <w:t>Table 3: Rovina Valley 2022 Mineral Resource Estimate Update Colnic and Rovina Deposits</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646"/>
        <w:gridCol w:w="1134"/>
        <w:gridCol w:w="861"/>
        <w:gridCol w:w="711"/>
        <w:gridCol w:w="992"/>
        <w:gridCol w:w="992"/>
        <w:gridCol w:w="994"/>
        <w:gridCol w:w="990"/>
      </w:tblGrid>
      <w:tr w:rsidR="009A6C1A" w:rsidRPr="00F94A7E" w14:paraId="40461DBA" w14:textId="77777777" w:rsidTr="00637D69">
        <w:trPr>
          <w:trHeight w:val="544"/>
          <w:tblHeader/>
        </w:trPr>
        <w:tc>
          <w:tcPr>
            <w:tcW w:w="554" w:type="pct"/>
            <w:tcBorders>
              <w:bottom w:val="single" w:sz="4" w:space="0" w:color="auto"/>
            </w:tcBorders>
            <w:shd w:val="clear" w:color="auto" w:fill="FFC000"/>
          </w:tcPr>
          <w:p w14:paraId="42FBA46C" w14:textId="77777777" w:rsidR="009A6C1A" w:rsidRPr="00D84DA7" w:rsidRDefault="009A6C1A" w:rsidP="00637D69">
            <w:pPr>
              <w:jc w:val="both"/>
              <w:textAlignment w:val="baseline"/>
              <w:rPr>
                <w:rFonts w:ascii="Arial" w:hAnsi="Arial" w:cs="Arial"/>
                <w:b/>
                <w:bCs/>
                <w:sz w:val="20"/>
                <w:szCs w:val="20"/>
                <w:lang w:val="en-GB"/>
              </w:rPr>
            </w:pPr>
            <w:r w:rsidRPr="00D84DA7">
              <w:rPr>
                <w:rFonts w:ascii="Arial" w:hAnsi="Arial" w:cs="Arial"/>
                <w:b/>
                <w:bCs/>
                <w:sz w:val="20"/>
                <w:szCs w:val="20"/>
                <w:lang w:val="en-GB"/>
              </w:rPr>
              <w:t>Deposit</w:t>
            </w:r>
          </w:p>
        </w:tc>
        <w:tc>
          <w:tcPr>
            <w:tcW w:w="880" w:type="pct"/>
            <w:tcBorders>
              <w:bottom w:val="single" w:sz="4" w:space="0" w:color="auto"/>
            </w:tcBorders>
            <w:shd w:val="clear" w:color="auto" w:fill="FFC000"/>
          </w:tcPr>
          <w:p w14:paraId="4ADFACA8" w14:textId="77777777" w:rsidR="009A6C1A" w:rsidRPr="00D84DA7" w:rsidRDefault="009A6C1A" w:rsidP="00637D69">
            <w:pPr>
              <w:jc w:val="both"/>
              <w:textAlignment w:val="baseline"/>
              <w:rPr>
                <w:rFonts w:ascii="Arial" w:hAnsi="Arial" w:cs="Arial"/>
                <w:b/>
                <w:bCs/>
                <w:sz w:val="20"/>
                <w:szCs w:val="20"/>
                <w:lang w:val="en-GB"/>
              </w:rPr>
            </w:pPr>
            <w:r w:rsidRPr="00D84DA7">
              <w:rPr>
                <w:rFonts w:ascii="Arial" w:hAnsi="Arial" w:cs="Arial"/>
                <w:b/>
                <w:bCs/>
                <w:sz w:val="20"/>
                <w:szCs w:val="20"/>
                <w:lang w:val="en-GB"/>
              </w:rPr>
              <w:t>Classification</w:t>
            </w:r>
          </w:p>
        </w:tc>
        <w:tc>
          <w:tcPr>
            <w:tcW w:w="606" w:type="pct"/>
            <w:tcBorders>
              <w:bottom w:val="single" w:sz="4" w:space="0" w:color="auto"/>
            </w:tcBorders>
            <w:shd w:val="clear" w:color="auto" w:fill="FFC000"/>
          </w:tcPr>
          <w:p w14:paraId="01EF98AE"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Tonnage</w:t>
            </w:r>
          </w:p>
          <w:p w14:paraId="5FC0F10C"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(Mt)</w:t>
            </w:r>
          </w:p>
        </w:tc>
        <w:tc>
          <w:tcPr>
            <w:tcW w:w="460" w:type="pct"/>
            <w:tcBorders>
              <w:bottom w:val="single" w:sz="4" w:space="0" w:color="auto"/>
            </w:tcBorders>
            <w:shd w:val="clear" w:color="auto" w:fill="FFC000"/>
          </w:tcPr>
          <w:p w14:paraId="07EC4F27"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Au</w:t>
            </w:r>
          </w:p>
          <w:p w14:paraId="0FA543F8"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(g/t)</w:t>
            </w:r>
          </w:p>
        </w:tc>
        <w:tc>
          <w:tcPr>
            <w:tcW w:w="380" w:type="pct"/>
            <w:tcBorders>
              <w:bottom w:val="single" w:sz="4" w:space="0" w:color="auto"/>
            </w:tcBorders>
            <w:shd w:val="clear" w:color="auto" w:fill="FFC000"/>
          </w:tcPr>
          <w:p w14:paraId="522D286E"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Cu</w:t>
            </w:r>
          </w:p>
          <w:p w14:paraId="2974EBAA"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w:t>
            </w:r>
          </w:p>
        </w:tc>
        <w:tc>
          <w:tcPr>
            <w:tcW w:w="530" w:type="pct"/>
            <w:tcBorders>
              <w:bottom w:val="single" w:sz="4" w:space="0" w:color="auto"/>
            </w:tcBorders>
            <w:shd w:val="clear" w:color="auto" w:fill="FFC000"/>
          </w:tcPr>
          <w:p w14:paraId="05819B39"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Au</w:t>
            </w:r>
          </w:p>
          <w:p w14:paraId="582C919A"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(Moz)</w:t>
            </w:r>
          </w:p>
        </w:tc>
        <w:tc>
          <w:tcPr>
            <w:tcW w:w="530" w:type="pct"/>
            <w:tcBorders>
              <w:bottom w:val="single" w:sz="4" w:space="0" w:color="auto"/>
            </w:tcBorders>
            <w:shd w:val="clear" w:color="auto" w:fill="FFC000"/>
          </w:tcPr>
          <w:p w14:paraId="40DAAE1E"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 xml:space="preserve"> Cu</w:t>
            </w:r>
          </w:p>
          <w:p w14:paraId="20568154"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w:t>
            </w:r>
            <w:proofErr w:type="spellStart"/>
            <w:r w:rsidRPr="00D84DA7">
              <w:rPr>
                <w:rFonts w:ascii="Arial" w:hAnsi="Arial" w:cs="Arial"/>
                <w:b/>
                <w:bCs/>
                <w:sz w:val="20"/>
                <w:szCs w:val="20"/>
                <w:lang w:val="en-GB"/>
              </w:rPr>
              <w:t>Mlb</w:t>
            </w:r>
            <w:proofErr w:type="spellEnd"/>
            <w:r w:rsidRPr="00D84DA7">
              <w:rPr>
                <w:rFonts w:ascii="Arial" w:hAnsi="Arial" w:cs="Arial"/>
                <w:b/>
                <w:bCs/>
                <w:sz w:val="20"/>
                <w:szCs w:val="20"/>
                <w:lang w:val="en-GB"/>
              </w:rPr>
              <w:t>)</w:t>
            </w:r>
          </w:p>
        </w:tc>
        <w:tc>
          <w:tcPr>
            <w:tcW w:w="531" w:type="pct"/>
            <w:tcBorders>
              <w:bottom w:val="single" w:sz="4" w:space="0" w:color="auto"/>
            </w:tcBorders>
            <w:shd w:val="clear" w:color="auto" w:fill="FFC000"/>
          </w:tcPr>
          <w:p w14:paraId="31AC317C"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 xml:space="preserve">Au </w:t>
            </w:r>
            <w:proofErr w:type="spellStart"/>
            <w:r w:rsidRPr="00D84DA7">
              <w:rPr>
                <w:rFonts w:ascii="Arial" w:hAnsi="Arial" w:cs="Arial"/>
                <w:b/>
                <w:bCs/>
                <w:sz w:val="20"/>
                <w:szCs w:val="20"/>
                <w:lang w:val="en-GB"/>
              </w:rPr>
              <w:t>Eq</w:t>
            </w:r>
            <w:proofErr w:type="spellEnd"/>
            <w:r w:rsidRPr="00D84DA7">
              <w:rPr>
                <w:rFonts w:ascii="Arial" w:hAnsi="Arial" w:cs="Arial"/>
                <w:b/>
                <w:bCs/>
                <w:sz w:val="20"/>
                <w:szCs w:val="20"/>
                <w:lang w:val="en-GB"/>
              </w:rPr>
              <w:t>*</w:t>
            </w:r>
          </w:p>
          <w:p w14:paraId="35F31DD7"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(g/t)</w:t>
            </w:r>
          </w:p>
        </w:tc>
        <w:tc>
          <w:tcPr>
            <w:tcW w:w="531" w:type="pct"/>
            <w:tcBorders>
              <w:bottom w:val="single" w:sz="4" w:space="0" w:color="auto"/>
            </w:tcBorders>
            <w:shd w:val="clear" w:color="auto" w:fill="FFC000"/>
          </w:tcPr>
          <w:p w14:paraId="4ACC98FF"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 xml:space="preserve">Au </w:t>
            </w:r>
            <w:proofErr w:type="spellStart"/>
            <w:r w:rsidRPr="00D84DA7">
              <w:rPr>
                <w:rFonts w:ascii="Arial" w:hAnsi="Arial" w:cs="Arial"/>
                <w:b/>
                <w:bCs/>
                <w:sz w:val="20"/>
                <w:szCs w:val="20"/>
                <w:lang w:val="en-GB"/>
              </w:rPr>
              <w:t>Eq</w:t>
            </w:r>
            <w:proofErr w:type="spellEnd"/>
            <w:r w:rsidRPr="00D84DA7">
              <w:rPr>
                <w:rFonts w:ascii="Arial" w:hAnsi="Arial" w:cs="Arial"/>
                <w:b/>
                <w:bCs/>
                <w:sz w:val="20"/>
                <w:szCs w:val="20"/>
                <w:lang w:val="en-GB"/>
              </w:rPr>
              <w:t>*</w:t>
            </w:r>
          </w:p>
          <w:p w14:paraId="26164AF3"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(Moz)</w:t>
            </w:r>
          </w:p>
        </w:tc>
      </w:tr>
      <w:tr w:rsidR="009A6C1A" w:rsidRPr="00F94A7E" w14:paraId="3CF07674" w14:textId="77777777" w:rsidTr="00637D69">
        <w:trPr>
          <w:trHeight w:val="266"/>
        </w:trPr>
        <w:tc>
          <w:tcPr>
            <w:tcW w:w="554" w:type="pct"/>
            <w:vMerge w:val="restart"/>
            <w:tcBorders>
              <w:top w:val="single" w:sz="4" w:space="0" w:color="auto"/>
            </w:tcBorders>
            <w:vAlign w:val="center"/>
          </w:tcPr>
          <w:p w14:paraId="5CEF2D0E" w14:textId="77777777" w:rsidR="009A6C1A" w:rsidRPr="00D84DA7" w:rsidRDefault="009A6C1A" w:rsidP="00637D69">
            <w:pPr>
              <w:spacing w:before="40" w:after="40" w:line="276" w:lineRule="auto"/>
              <w:rPr>
                <w:rFonts w:ascii="Arial" w:hAnsi="Arial" w:cs="Arial"/>
                <w:sz w:val="20"/>
                <w:szCs w:val="20"/>
                <w:lang w:val="en-GB"/>
              </w:rPr>
            </w:pPr>
            <w:r w:rsidRPr="00D84DA7">
              <w:rPr>
                <w:rFonts w:ascii="Arial" w:eastAsia="Times New Roman" w:hAnsi="Arial" w:cs="Arial"/>
                <w:color w:val="000000"/>
                <w:sz w:val="20"/>
                <w:szCs w:val="20"/>
                <w:lang w:val="en-US" w:eastAsia="en-ZA"/>
              </w:rPr>
              <w:t>Colnic</w:t>
            </w:r>
          </w:p>
        </w:tc>
        <w:tc>
          <w:tcPr>
            <w:tcW w:w="880" w:type="pct"/>
            <w:tcBorders>
              <w:top w:val="single" w:sz="4" w:space="0" w:color="auto"/>
            </w:tcBorders>
            <w:shd w:val="clear" w:color="auto" w:fill="auto"/>
            <w:vAlign w:val="center"/>
          </w:tcPr>
          <w:p w14:paraId="5EA04CAC" w14:textId="77777777" w:rsidR="009A6C1A" w:rsidRPr="00D84DA7" w:rsidRDefault="009A6C1A" w:rsidP="00637D69">
            <w:pPr>
              <w:spacing w:before="40" w:after="40" w:line="276" w:lineRule="auto"/>
              <w:jc w:val="both"/>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 xml:space="preserve">Measured </w:t>
            </w:r>
          </w:p>
        </w:tc>
        <w:tc>
          <w:tcPr>
            <w:tcW w:w="606" w:type="pct"/>
            <w:tcBorders>
              <w:top w:val="single" w:sz="4" w:space="0" w:color="auto"/>
            </w:tcBorders>
            <w:shd w:val="clear" w:color="auto" w:fill="auto"/>
            <w:vAlign w:val="center"/>
          </w:tcPr>
          <w:p w14:paraId="46AA537A"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29.2</w:t>
            </w:r>
          </w:p>
        </w:tc>
        <w:tc>
          <w:tcPr>
            <w:tcW w:w="460" w:type="pct"/>
            <w:tcBorders>
              <w:top w:val="single" w:sz="4" w:space="0" w:color="auto"/>
            </w:tcBorders>
            <w:shd w:val="clear" w:color="auto" w:fill="auto"/>
            <w:vAlign w:val="center"/>
          </w:tcPr>
          <w:p w14:paraId="0F5145DE"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0.65</w:t>
            </w:r>
          </w:p>
        </w:tc>
        <w:tc>
          <w:tcPr>
            <w:tcW w:w="380" w:type="pct"/>
            <w:tcBorders>
              <w:top w:val="single" w:sz="4" w:space="0" w:color="auto"/>
            </w:tcBorders>
            <w:vAlign w:val="center"/>
          </w:tcPr>
          <w:p w14:paraId="3BF20142"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0.12</w:t>
            </w:r>
          </w:p>
        </w:tc>
        <w:tc>
          <w:tcPr>
            <w:tcW w:w="530" w:type="pct"/>
            <w:tcBorders>
              <w:top w:val="single" w:sz="4" w:space="0" w:color="auto"/>
            </w:tcBorders>
            <w:shd w:val="clear" w:color="auto" w:fill="auto"/>
            <w:vAlign w:val="center"/>
          </w:tcPr>
          <w:p w14:paraId="4E270FE0"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0.61</w:t>
            </w:r>
          </w:p>
        </w:tc>
        <w:tc>
          <w:tcPr>
            <w:tcW w:w="530" w:type="pct"/>
            <w:tcBorders>
              <w:top w:val="single" w:sz="4" w:space="0" w:color="auto"/>
            </w:tcBorders>
            <w:shd w:val="clear" w:color="auto" w:fill="auto"/>
            <w:vAlign w:val="center"/>
          </w:tcPr>
          <w:p w14:paraId="4B98E87B"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74</w:t>
            </w:r>
          </w:p>
        </w:tc>
        <w:tc>
          <w:tcPr>
            <w:tcW w:w="531" w:type="pct"/>
            <w:tcBorders>
              <w:top w:val="single" w:sz="4" w:space="0" w:color="auto"/>
            </w:tcBorders>
            <w:vAlign w:val="center"/>
          </w:tcPr>
          <w:p w14:paraId="441B83EF"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0.81</w:t>
            </w:r>
          </w:p>
        </w:tc>
        <w:tc>
          <w:tcPr>
            <w:tcW w:w="531" w:type="pct"/>
            <w:tcBorders>
              <w:top w:val="single" w:sz="4" w:space="0" w:color="auto"/>
            </w:tcBorders>
            <w:vAlign w:val="center"/>
          </w:tcPr>
          <w:p w14:paraId="6EA14C13"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0.76</w:t>
            </w:r>
          </w:p>
        </w:tc>
      </w:tr>
      <w:tr w:rsidR="009A6C1A" w:rsidRPr="00F94A7E" w14:paraId="54EC027F" w14:textId="77777777" w:rsidTr="00637D69">
        <w:trPr>
          <w:trHeight w:val="266"/>
        </w:trPr>
        <w:tc>
          <w:tcPr>
            <w:tcW w:w="554" w:type="pct"/>
            <w:vMerge/>
          </w:tcPr>
          <w:p w14:paraId="6FFD1C3A" w14:textId="77777777" w:rsidR="009A6C1A" w:rsidRPr="00D84DA7" w:rsidRDefault="009A6C1A" w:rsidP="00637D69">
            <w:pPr>
              <w:spacing w:before="60" w:after="60"/>
              <w:textAlignment w:val="baseline"/>
              <w:rPr>
                <w:rFonts w:ascii="Arial" w:hAnsi="Arial" w:cs="Arial"/>
                <w:sz w:val="20"/>
                <w:szCs w:val="20"/>
                <w:lang w:val="en-GB"/>
              </w:rPr>
            </w:pPr>
          </w:p>
        </w:tc>
        <w:tc>
          <w:tcPr>
            <w:tcW w:w="880" w:type="pct"/>
            <w:shd w:val="clear" w:color="auto" w:fill="auto"/>
            <w:vAlign w:val="center"/>
          </w:tcPr>
          <w:p w14:paraId="5C30BFF9" w14:textId="77777777" w:rsidR="009A6C1A" w:rsidRPr="00D84DA7" w:rsidRDefault="009A6C1A" w:rsidP="00637D69">
            <w:pPr>
              <w:spacing w:before="40" w:after="40" w:line="276" w:lineRule="auto"/>
              <w:jc w:val="both"/>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Indicated</w:t>
            </w:r>
          </w:p>
        </w:tc>
        <w:tc>
          <w:tcPr>
            <w:tcW w:w="606" w:type="pct"/>
            <w:shd w:val="clear" w:color="auto" w:fill="auto"/>
            <w:vAlign w:val="center"/>
          </w:tcPr>
          <w:p w14:paraId="5541AAAB"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103.6</w:t>
            </w:r>
          </w:p>
        </w:tc>
        <w:tc>
          <w:tcPr>
            <w:tcW w:w="460" w:type="pct"/>
            <w:shd w:val="clear" w:color="auto" w:fill="auto"/>
            <w:vAlign w:val="center"/>
          </w:tcPr>
          <w:p w14:paraId="533D3B96"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0.48</w:t>
            </w:r>
          </w:p>
        </w:tc>
        <w:tc>
          <w:tcPr>
            <w:tcW w:w="380" w:type="pct"/>
            <w:vAlign w:val="center"/>
          </w:tcPr>
          <w:p w14:paraId="6F23BEAF"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0.10</w:t>
            </w:r>
          </w:p>
        </w:tc>
        <w:tc>
          <w:tcPr>
            <w:tcW w:w="530" w:type="pct"/>
            <w:shd w:val="clear" w:color="auto" w:fill="auto"/>
            <w:vAlign w:val="center"/>
          </w:tcPr>
          <w:p w14:paraId="49572D92"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1.61</w:t>
            </w:r>
          </w:p>
        </w:tc>
        <w:tc>
          <w:tcPr>
            <w:tcW w:w="530" w:type="pct"/>
            <w:shd w:val="clear" w:color="auto" w:fill="auto"/>
            <w:vAlign w:val="center"/>
          </w:tcPr>
          <w:p w14:paraId="307C0664"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224</w:t>
            </w:r>
          </w:p>
        </w:tc>
        <w:tc>
          <w:tcPr>
            <w:tcW w:w="531" w:type="pct"/>
            <w:vAlign w:val="center"/>
          </w:tcPr>
          <w:p w14:paraId="210E07B1"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0.62</w:t>
            </w:r>
          </w:p>
        </w:tc>
        <w:tc>
          <w:tcPr>
            <w:tcW w:w="531" w:type="pct"/>
            <w:vAlign w:val="center"/>
          </w:tcPr>
          <w:p w14:paraId="3249D137"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2.07</w:t>
            </w:r>
          </w:p>
        </w:tc>
      </w:tr>
      <w:tr w:rsidR="009A6C1A" w:rsidRPr="00F94A7E" w14:paraId="406B98A2" w14:textId="77777777" w:rsidTr="00637D69">
        <w:trPr>
          <w:trHeight w:val="544"/>
        </w:trPr>
        <w:tc>
          <w:tcPr>
            <w:tcW w:w="554" w:type="pct"/>
            <w:vMerge w:val="restart"/>
            <w:vAlign w:val="center"/>
          </w:tcPr>
          <w:p w14:paraId="7D28A1F7" w14:textId="77777777" w:rsidR="009A6C1A" w:rsidRPr="00D84DA7" w:rsidRDefault="009A6C1A" w:rsidP="00637D69">
            <w:pPr>
              <w:spacing w:before="60" w:after="60"/>
              <w:textAlignment w:val="baseline"/>
              <w:rPr>
                <w:rFonts w:ascii="Arial" w:hAnsi="Arial" w:cs="Arial"/>
                <w:sz w:val="20"/>
                <w:szCs w:val="20"/>
                <w:lang w:val="en-GB"/>
              </w:rPr>
            </w:pPr>
            <w:r w:rsidRPr="00D84DA7">
              <w:rPr>
                <w:rFonts w:ascii="Arial" w:hAnsi="Arial" w:cs="Arial"/>
                <w:sz w:val="20"/>
                <w:szCs w:val="20"/>
                <w:lang w:val="en-GB"/>
              </w:rPr>
              <w:t>Rovina</w:t>
            </w:r>
          </w:p>
        </w:tc>
        <w:tc>
          <w:tcPr>
            <w:tcW w:w="880" w:type="pct"/>
            <w:shd w:val="clear" w:color="auto" w:fill="auto"/>
            <w:vAlign w:val="center"/>
          </w:tcPr>
          <w:p w14:paraId="1ADA8D26" w14:textId="77777777" w:rsidR="009A6C1A" w:rsidRPr="00D84DA7" w:rsidRDefault="009A6C1A" w:rsidP="00637D69">
            <w:pPr>
              <w:spacing w:before="40" w:after="40" w:line="276" w:lineRule="auto"/>
              <w:jc w:val="both"/>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Measured</w:t>
            </w:r>
          </w:p>
        </w:tc>
        <w:tc>
          <w:tcPr>
            <w:tcW w:w="606" w:type="pct"/>
            <w:shd w:val="clear" w:color="auto" w:fill="auto"/>
            <w:vAlign w:val="center"/>
          </w:tcPr>
          <w:p w14:paraId="4D65AD91"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33.2</w:t>
            </w:r>
          </w:p>
        </w:tc>
        <w:tc>
          <w:tcPr>
            <w:tcW w:w="460" w:type="pct"/>
            <w:shd w:val="clear" w:color="auto" w:fill="auto"/>
            <w:vAlign w:val="center"/>
          </w:tcPr>
          <w:p w14:paraId="50C06772"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0.36</w:t>
            </w:r>
          </w:p>
        </w:tc>
        <w:tc>
          <w:tcPr>
            <w:tcW w:w="380" w:type="pct"/>
            <w:vAlign w:val="center"/>
          </w:tcPr>
          <w:p w14:paraId="004D5D1B"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0.29</w:t>
            </w:r>
          </w:p>
        </w:tc>
        <w:tc>
          <w:tcPr>
            <w:tcW w:w="530" w:type="pct"/>
            <w:shd w:val="clear" w:color="auto" w:fill="auto"/>
            <w:vAlign w:val="center"/>
          </w:tcPr>
          <w:p w14:paraId="32F97C5F"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0.38</w:t>
            </w:r>
          </w:p>
        </w:tc>
        <w:tc>
          <w:tcPr>
            <w:tcW w:w="530" w:type="pct"/>
            <w:shd w:val="clear" w:color="auto" w:fill="auto"/>
            <w:vAlign w:val="center"/>
          </w:tcPr>
          <w:p w14:paraId="28251EC2"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213</w:t>
            </w:r>
          </w:p>
        </w:tc>
        <w:tc>
          <w:tcPr>
            <w:tcW w:w="531" w:type="pct"/>
            <w:vAlign w:val="center"/>
          </w:tcPr>
          <w:p w14:paraId="3319BCF6"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0.77</w:t>
            </w:r>
          </w:p>
        </w:tc>
        <w:tc>
          <w:tcPr>
            <w:tcW w:w="531" w:type="pct"/>
            <w:vAlign w:val="center"/>
          </w:tcPr>
          <w:p w14:paraId="7D7303F4"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0.82</w:t>
            </w:r>
          </w:p>
        </w:tc>
      </w:tr>
      <w:tr w:rsidR="009A6C1A" w:rsidRPr="00F94A7E" w14:paraId="13B217AE" w14:textId="77777777" w:rsidTr="00637D69">
        <w:trPr>
          <w:trHeight w:val="544"/>
        </w:trPr>
        <w:tc>
          <w:tcPr>
            <w:tcW w:w="554" w:type="pct"/>
            <w:vMerge/>
          </w:tcPr>
          <w:p w14:paraId="7ACB5564" w14:textId="77777777" w:rsidR="009A6C1A" w:rsidRPr="00D84DA7" w:rsidRDefault="009A6C1A" w:rsidP="00637D69">
            <w:pPr>
              <w:spacing w:before="60" w:after="60"/>
              <w:textAlignment w:val="baseline"/>
              <w:rPr>
                <w:rFonts w:ascii="Arial" w:hAnsi="Arial" w:cs="Arial"/>
                <w:b/>
                <w:bCs/>
                <w:sz w:val="20"/>
                <w:szCs w:val="20"/>
                <w:lang w:val="en-GB"/>
              </w:rPr>
            </w:pPr>
          </w:p>
        </w:tc>
        <w:tc>
          <w:tcPr>
            <w:tcW w:w="880" w:type="pct"/>
            <w:shd w:val="clear" w:color="auto" w:fill="auto"/>
            <w:vAlign w:val="center"/>
          </w:tcPr>
          <w:p w14:paraId="6597D5A9" w14:textId="77777777" w:rsidR="009A6C1A" w:rsidRPr="00D84DA7" w:rsidRDefault="009A6C1A" w:rsidP="00637D69">
            <w:pPr>
              <w:spacing w:before="40" w:after="40" w:line="276" w:lineRule="auto"/>
              <w:jc w:val="both"/>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Indicated</w:t>
            </w:r>
          </w:p>
        </w:tc>
        <w:tc>
          <w:tcPr>
            <w:tcW w:w="606" w:type="pct"/>
            <w:shd w:val="clear" w:color="auto" w:fill="auto"/>
            <w:vAlign w:val="center"/>
          </w:tcPr>
          <w:p w14:paraId="0CECA9D0"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79.1</w:t>
            </w:r>
          </w:p>
        </w:tc>
        <w:tc>
          <w:tcPr>
            <w:tcW w:w="460" w:type="pct"/>
            <w:shd w:val="clear" w:color="auto" w:fill="auto"/>
            <w:vAlign w:val="center"/>
          </w:tcPr>
          <w:p w14:paraId="6E3B35E0"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0.26</w:t>
            </w:r>
          </w:p>
        </w:tc>
        <w:tc>
          <w:tcPr>
            <w:tcW w:w="380" w:type="pct"/>
            <w:vAlign w:val="center"/>
          </w:tcPr>
          <w:p w14:paraId="708EBDBF"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0.22</w:t>
            </w:r>
          </w:p>
        </w:tc>
        <w:tc>
          <w:tcPr>
            <w:tcW w:w="530" w:type="pct"/>
            <w:shd w:val="clear" w:color="auto" w:fill="auto"/>
            <w:vAlign w:val="center"/>
          </w:tcPr>
          <w:p w14:paraId="2F122D77"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0.67</w:t>
            </w:r>
          </w:p>
        </w:tc>
        <w:tc>
          <w:tcPr>
            <w:tcW w:w="530" w:type="pct"/>
            <w:shd w:val="clear" w:color="auto" w:fill="auto"/>
            <w:vAlign w:val="center"/>
          </w:tcPr>
          <w:p w14:paraId="6767096B"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384</w:t>
            </w:r>
          </w:p>
        </w:tc>
        <w:tc>
          <w:tcPr>
            <w:tcW w:w="531" w:type="pct"/>
            <w:vAlign w:val="center"/>
          </w:tcPr>
          <w:p w14:paraId="76E129E1"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0.57</w:t>
            </w:r>
          </w:p>
        </w:tc>
        <w:tc>
          <w:tcPr>
            <w:tcW w:w="531" w:type="pct"/>
            <w:vAlign w:val="center"/>
          </w:tcPr>
          <w:p w14:paraId="37109F0A"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1.46</w:t>
            </w:r>
          </w:p>
        </w:tc>
      </w:tr>
      <w:tr w:rsidR="009A6C1A" w:rsidRPr="00F94A7E" w14:paraId="1BB99313" w14:textId="77777777" w:rsidTr="00637D69">
        <w:trPr>
          <w:trHeight w:val="23"/>
        </w:trPr>
        <w:tc>
          <w:tcPr>
            <w:tcW w:w="554" w:type="pct"/>
            <w:vMerge w:val="restart"/>
            <w:vAlign w:val="center"/>
          </w:tcPr>
          <w:p w14:paraId="324327E8" w14:textId="77777777" w:rsidR="009A6C1A" w:rsidRPr="00D84DA7" w:rsidRDefault="009A6C1A" w:rsidP="00637D69">
            <w:pPr>
              <w:spacing w:before="60" w:after="60"/>
              <w:textAlignment w:val="baseline"/>
              <w:rPr>
                <w:rFonts w:ascii="Arial" w:hAnsi="Arial" w:cs="Arial"/>
                <w:sz w:val="20"/>
                <w:szCs w:val="20"/>
                <w:lang w:val="en-GB"/>
              </w:rPr>
            </w:pPr>
            <w:r w:rsidRPr="00D84DA7">
              <w:rPr>
                <w:rFonts w:ascii="Arial" w:hAnsi="Arial" w:cs="Arial"/>
                <w:sz w:val="20"/>
                <w:szCs w:val="20"/>
                <w:lang w:val="en-GB"/>
              </w:rPr>
              <w:t>Colnic &amp; Rovina</w:t>
            </w:r>
          </w:p>
        </w:tc>
        <w:tc>
          <w:tcPr>
            <w:tcW w:w="880" w:type="pct"/>
            <w:shd w:val="clear" w:color="auto" w:fill="auto"/>
            <w:vAlign w:val="center"/>
          </w:tcPr>
          <w:p w14:paraId="555EC3E0" w14:textId="77777777" w:rsidR="009A6C1A" w:rsidRPr="00D84DA7" w:rsidRDefault="009A6C1A" w:rsidP="00637D69">
            <w:pPr>
              <w:spacing w:before="40" w:after="40" w:line="276" w:lineRule="auto"/>
              <w:jc w:val="both"/>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Measured</w:t>
            </w:r>
          </w:p>
        </w:tc>
        <w:tc>
          <w:tcPr>
            <w:tcW w:w="606" w:type="pct"/>
            <w:shd w:val="clear" w:color="auto" w:fill="auto"/>
            <w:vAlign w:val="center"/>
          </w:tcPr>
          <w:p w14:paraId="2F8D44FD"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62.4</w:t>
            </w:r>
          </w:p>
        </w:tc>
        <w:tc>
          <w:tcPr>
            <w:tcW w:w="460" w:type="pct"/>
            <w:shd w:val="clear" w:color="auto" w:fill="auto"/>
            <w:vAlign w:val="center"/>
          </w:tcPr>
          <w:p w14:paraId="599C64DE"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0.49</w:t>
            </w:r>
          </w:p>
        </w:tc>
        <w:tc>
          <w:tcPr>
            <w:tcW w:w="380" w:type="pct"/>
            <w:vAlign w:val="center"/>
          </w:tcPr>
          <w:p w14:paraId="5FD67303"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0.21</w:t>
            </w:r>
          </w:p>
        </w:tc>
        <w:tc>
          <w:tcPr>
            <w:tcW w:w="530" w:type="pct"/>
            <w:shd w:val="clear" w:color="auto" w:fill="auto"/>
            <w:vAlign w:val="center"/>
          </w:tcPr>
          <w:p w14:paraId="4107162D"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0.99</w:t>
            </w:r>
          </w:p>
        </w:tc>
        <w:tc>
          <w:tcPr>
            <w:tcW w:w="530" w:type="pct"/>
            <w:shd w:val="clear" w:color="auto" w:fill="auto"/>
            <w:vAlign w:val="center"/>
          </w:tcPr>
          <w:p w14:paraId="47EA9F41"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288</w:t>
            </w:r>
          </w:p>
        </w:tc>
        <w:tc>
          <w:tcPr>
            <w:tcW w:w="531" w:type="pct"/>
            <w:vAlign w:val="center"/>
          </w:tcPr>
          <w:p w14:paraId="0EEC5177"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0.79</w:t>
            </w:r>
          </w:p>
        </w:tc>
        <w:tc>
          <w:tcPr>
            <w:tcW w:w="531" w:type="pct"/>
            <w:vAlign w:val="center"/>
          </w:tcPr>
          <w:p w14:paraId="1AFDF556"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1.58</w:t>
            </w:r>
          </w:p>
        </w:tc>
      </w:tr>
      <w:tr w:rsidR="009A6C1A" w:rsidRPr="00F94A7E" w14:paraId="05969EEE" w14:textId="77777777" w:rsidTr="00637D69">
        <w:trPr>
          <w:trHeight w:val="544"/>
        </w:trPr>
        <w:tc>
          <w:tcPr>
            <w:tcW w:w="554" w:type="pct"/>
            <w:vMerge/>
          </w:tcPr>
          <w:p w14:paraId="394C0789" w14:textId="77777777" w:rsidR="009A6C1A" w:rsidRPr="00D84DA7" w:rsidRDefault="009A6C1A" w:rsidP="00637D69">
            <w:pPr>
              <w:spacing w:before="60" w:after="60"/>
              <w:textAlignment w:val="baseline"/>
              <w:rPr>
                <w:rFonts w:ascii="Arial" w:hAnsi="Arial" w:cs="Arial"/>
                <w:b/>
                <w:bCs/>
                <w:sz w:val="20"/>
                <w:szCs w:val="20"/>
                <w:lang w:val="en-GB"/>
              </w:rPr>
            </w:pPr>
          </w:p>
        </w:tc>
        <w:tc>
          <w:tcPr>
            <w:tcW w:w="880" w:type="pct"/>
            <w:shd w:val="clear" w:color="auto" w:fill="auto"/>
            <w:vAlign w:val="center"/>
          </w:tcPr>
          <w:p w14:paraId="34C9DF1F" w14:textId="77777777" w:rsidR="009A6C1A" w:rsidRPr="00D84DA7" w:rsidRDefault="009A6C1A" w:rsidP="00637D69">
            <w:pPr>
              <w:spacing w:before="40" w:after="40" w:line="276" w:lineRule="auto"/>
              <w:jc w:val="both"/>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Indicated</w:t>
            </w:r>
          </w:p>
        </w:tc>
        <w:tc>
          <w:tcPr>
            <w:tcW w:w="606" w:type="pct"/>
            <w:shd w:val="clear" w:color="auto" w:fill="auto"/>
            <w:vAlign w:val="center"/>
          </w:tcPr>
          <w:p w14:paraId="3F81859F"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182.7</w:t>
            </w:r>
          </w:p>
        </w:tc>
        <w:tc>
          <w:tcPr>
            <w:tcW w:w="460" w:type="pct"/>
            <w:shd w:val="clear" w:color="auto" w:fill="auto"/>
            <w:vAlign w:val="center"/>
          </w:tcPr>
          <w:p w14:paraId="66F00B09"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0.39</w:t>
            </w:r>
          </w:p>
        </w:tc>
        <w:tc>
          <w:tcPr>
            <w:tcW w:w="380" w:type="pct"/>
            <w:vAlign w:val="center"/>
          </w:tcPr>
          <w:p w14:paraId="21E45627"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0.15</w:t>
            </w:r>
          </w:p>
        </w:tc>
        <w:tc>
          <w:tcPr>
            <w:tcW w:w="530" w:type="pct"/>
            <w:shd w:val="clear" w:color="auto" w:fill="auto"/>
            <w:vAlign w:val="center"/>
          </w:tcPr>
          <w:p w14:paraId="4FC9CFA3"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2.28</w:t>
            </w:r>
          </w:p>
        </w:tc>
        <w:tc>
          <w:tcPr>
            <w:tcW w:w="530" w:type="pct"/>
            <w:shd w:val="clear" w:color="auto" w:fill="auto"/>
            <w:vAlign w:val="center"/>
          </w:tcPr>
          <w:p w14:paraId="0C2F8645"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607</w:t>
            </w:r>
          </w:p>
        </w:tc>
        <w:tc>
          <w:tcPr>
            <w:tcW w:w="531" w:type="pct"/>
            <w:vAlign w:val="center"/>
          </w:tcPr>
          <w:p w14:paraId="163EC7AE"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0.60</w:t>
            </w:r>
          </w:p>
        </w:tc>
        <w:tc>
          <w:tcPr>
            <w:tcW w:w="531" w:type="pct"/>
            <w:vAlign w:val="center"/>
          </w:tcPr>
          <w:p w14:paraId="017F240C" w14:textId="77777777" w:rsidR="009A6C1A" w:rsidRPr="00D84DA7" w:rsidRDefault="009A6C1A" w:rsidP="00637D69">
            <w:pPr>
              <w:spacing w:before="40" w:after="40" w:line="276" w:lineRule="auto"/>
              <w:jc w:val="center"/>
              <w:rPr>
                <w:rFonts w:ascii="Arial" w:eastAsia="Times New Roman" w:hAnsi="Arial" w:cs="Arial"/>
                <w:color w:val="000000"/>
                <w:sz w:val="20"/>
                <w:szCs w:val="20"/>
                <w:lang w:val="en-US" w:eastAsia="en-ZA"/>
              </w:rPr>
            </w:pPr>
            <w:r w:rsidRPr="00D84DA7">
              <w:rPr>
                <w:rFonts w:ascii="Arial" w:eastAsia="Times New Roman" w:hAnsi="Arial" w:cs="Arial"/>
                <w:color w:val="000000"/>
                <w:sz w:val="20"/>
                <w:szCs w:val="20"/>
                <w:lang w:val="en-US" w:eastAsia="en-ZA"/>
              </w:rPr>
              <w:t>3.53</w:t>
            </w:r>
          </w:p>
        </w:tc>
      </w:tr>
      <w:tr w:rsidR="009A6C1A" w:rsidRPr="00F94A7E" w14:paraId="452C1329" w14:textId="77777777" w:rsidTr="00637D69">
        <w:trPr>
          <w:trHeight w:val="153"/>
        </w:trPr>
        <w:tc>
          <w:tcPr>
            <w:tcW w:w="554" w:type="pct"/>
            <w:vAlign w:val="center"/>
          </w:tcPr>
          <w:p w14:paraId="7E5BB746" w14:textId="77777777" w:rsidR="009A6C1A" w:rsidRPr="00D84DA7" w:rsidRDefault="009A6C1A" w:rsidP="00637D69">
            <w:pPr>
              <w:spacing w:before="60" w:after="60"/>
              <w:textAlignment w:val="baseline"/>
              <w:rPr>
                <w:rFonts w:ascii="Arial" w:hAnsi="Arial" w:cs="Arial"/>
                <w:b/>
                <w:bCs/>
                <w:sz w:val="20"/>
                <w:szCs w:val="20"/>
                <w:lang w:val="en-GB"/>
              </w:rPr>
            </w:pPr>
            <w:r w:rsidRPr="00D84DA7">
              <w:rPr>
                <w:rFonts w:ascii="Arial" w:hAnsi="Arial" w:cs="Arial"/>
                <w:b/>
                <w:bCs/>
                <w:sz w:val="20"/>
                <w:szCs w:val="20"/>
                <w:lang w:val="en-GB"/>
              </w:rPr>
              <w:t>Total</w:t>
            </w:r>
          </w:p>
        </w:tc>
        <w:tc>
          <w:tcPr>
            <w:tcW w:w="880" w:type="pct"/>
            <w:shd w:val="clear" w:color="auto" w:fill="auto"/>
            <w:vAlign w:val="center"/>
          </w:tcPr>
          <w:p w14:paraId="1F92E137" w14:textId="77777777" w:rsidR="009A6C1A" w:rsidRPr="00D84DA7" w:rsidRDefault="009A6C1A" w:rsidP="00637D69">
            <w:pPr>
              <w:spacing w:before="40" w:after="40" w:line="276" w:lineRule="auto"/>
              <w:rPr>
                <w:rFonts w:ascii="Arial" w:eastAsia="Times New Roman" w:hAnsi="Arial" w:cs="Arial"/>
                <w:b/>
                <w:bCs/>
                <w:color w:val="000000"/>
                <w:sz w:val="20"/>
                <w:szCs w:val="20"/>
                <w:lang w:val="en-US" w:eastAsia="en-ZA"/>
              </w:rPr>
            </w:pPr>
            <w:r w:rsidRPr="00D84DA7">
              <w:rPr>
                <w:rFonts w:ascii="Arial" w:eastAsia="Times New Roman" w:hAnsi="Arial" w:cs="Arial"/>
                <w:b/>
                <w:bCs/>
                <w:color w:val="000000"/>
                <w:sz w:val="20"/>
                <w:szCs w:val="20"/>
                <w:lang w:val="en-US" w:eastAsia="en-ZA"/>
              </w:rPr>
              <w:t xml:space="preserve">Measured &amp; </w:t>
            </w:r>
            <w:proofErr w:type="gramStart"/>
            <w:r w:rsidRPr="00D84DA7">
              <w:rPr>
                <w:rFonts w:ascii="Arial" w:eastAsia="Times New Roman" w:hAnsi="Arial" w:cs="Arial"/>
                <w:b/>
                <w:bCs/>
                <w:color w:val="000000"/>
                <w:sz w:val="20"/>
                <w:szCs w:val="20"/>
                <w:lang w:val="en-US" w:eastAsia="en-ZA"/>
              </w:rPr>
              <w:t>Indicated</w:t>
            </w:r>
            <w:proofErr w:type="gramEnd"/>
          </w:p>
        </w:tc>
        <w:tc>
          <w:tcPr>
            <w:tcW w:w="606" w:type="pct"/>
            <w:shd w:val="clear" w:color="auto" w:fill="auto"/>
            <w:vAlign w:val="center"/>
          </w:tcPr>
          <w:p w14:paraId="60D6BB0B" w14:textId="77777777" w:rsidR="009A6C1A" w:rsidRPr="00D84DA7" w:rsidRDefault="009A6C1A" w:rsidP="00637D69">
            <w:pPr>
              <w:spacing w:before="40" w:after="40" w:line="276" w:lineRule="auto"/>
              <w:jc w:val="center"/>
              <w:rPr>
                <w:rFonts w:ascii="Arial" w:eastAsia="Times New Roman" w:hAnsi="Arial" w:cs="Arial"/>
                <w:b/>
                <w:bCs/>
                <w:color w:val="000000"/>
                <w:sz w:val="20"/>
                <w:szCs w:val="20"/>
                <w:lang w:val="en-US" w:eastAsia="en-ZA"/>
              </w:rPr>
            </w:pPr>
            <w:r w:rsidRPr="00D84DA7">
              <w:rPr>
                <w:rFonts w:ascii="Arial" w:eastAsia="Times New Roman" w:hAnsi="Arial" w:cs="Arial"/>
                <w:b/>
                <w:bCs/>
                <w:color w:val="000000"/>
                <w:sz w:val="20"/>
                <w:szCs w:val="20"/>
                <w:lang w:val="en-US" w:eastAsia="en-ZA"/>
              </w:rPr>
              <w:t>245.1</w:t>
            </w:r>
          </w:p>
        </w:tc>
        <w:tc>
          <w:tcPr>
            <w:tcW w:w="460" w:type="pct"/>
            <w:shd w:val="clear" w:color="auto" w:fill="auto"/>
            <w:vAlign w:val="center"/>
          </w:tcPr>
          <w:p w14:paraId="28D27A73" w14:textId="77777777" w:rsidR="009A6C1A" w:rsidRPr="00D84DA7" w:rsidRDefault="009A6C1A" w:rsidP="00637D69">
            <w:pPr>
              <w:spacing w:before="40" w:after="40" w:line="276" w:lineRule="auto"/>
              <w:jc w:val="center"/>
              <w:rPr>
                <w:rFonts w:ascii="Arial" w:eastAsia="Times New Roman" w:hAnsi="Arial" w:cs="Arial"/>
                <w:b/>
                <w:bCs/>
                <w:color w:val="000000"/>
                <w:sz w:val="20"/>
                <w:szCs w:val="20"/>
                <w:lang w:val="en-US" w:eastAsia="en-ZA"/>
              </w:rPr>
            </w:pPr>
            <w:r w:rsidRPr="00D84DA7">
              <w:rPr>
                <w:rFonts w:ascii="Arial" w:eastAsia="Times New Roman" w:hAnsi="Arial" w:cs="Arial"/>
                <w:b/>
                <w:bCs/>
                <w:color w:val="000000"/>
                <w:sz w:val="20"/>
                <w:szCs w:val="20"/>
                <w:lang w:val="en-US" w:eastAsia="en-ZA"/>
              </w:rPr>
              <w:t>0.42</w:t>
            </w:r>
          </w:p>
        </w:tc>
        <w:tc>
          <w:tcPr>
            <w:tcW w:w="380" w:type="pct"/>
            <w:vAlign w:val="center"/>
          </w:tcPr>
          <w:p w14:paraId="2DB0655F" w14:textId="77777777" w:rsidR="009A6C1A" w:rsidRPr="00D84DA7" w:rsidRDefault="009A6C1A" w:rsidP="00637D69">
            <w:pPr>
              <w:spacing w:before="40" w:after="40" w:line="276" w:lineRule="auto"/>
              <w:jc w:val="center"/>
              <w:rPr>
                <w:rFonts w:ascii="Arial" w:eastAsia="Times New Roman" w:hAnsi="Arial" w:cs="Arial"/>
                <w:b/>
                <w:bCs/>
                <w:color w:val="000000"/>
                <w:sz w:val="20"/>
                <w:szCs w:val="20"/>
                <w:lang w:val="en-US" w:eastAsia="en-ZA"/>
              </w:rPr>
            </w:pPr>
            <w:r w:rsidRPr="00D84DA7">
              <w:rPr>
                <w:rFonts w:ascii="Arial" w:eastAsia="Times New Roman" w:hAnsi="Arial" w:cs="Arial"/>
                <w:b/>
                <w:bCs/>
                <w:color w:val="000000"/>
                <w:sz w:val="20"/>
                <w:szCs w:val="20"/>
                <w:lang w:val="en-US" w:eastAsia="en-ZA"/>
              </w:rPr>
              <w:t>0.17</w:t>
            </w:r>
          </w:p>
        </w:tc>
        <w:tc>
          <w:tcPr>
            <w:tcW w:w="530" w:type="pct"/>
            <w:shd w:val="clear" w:color="auto" w:fill="auto"/>
            <w:vAlign w:val="center"/>
          </w:tcPr>
          <w:p w14:paraId="632DADF3" w14:textId="77777777" w:rsidR="009A6C1A" w:rsidRPr="00D84DA7" w:rsidRDefault="009A6C1A" w:rsidP="00637D69">
            <w:pPr>
              <w:spacing w:before="40" w:after="40" w:line="276" w:lineRule="auto"/>
              <w:jc w:val="center"/>
              <w:rPr>
                <w:rFonts w:ascii="Arial" w:eastAsia="Times New Roman" w:hAnsi="Arial" w:cs="Arial"/>
                <w:b/>
                <w:bCs/>
                <w:color w:val="000000"/>
                <w:sz w:val="20"/>
                <w:szCs w:val="20"/>
                <w:lang w:val="en-US" w:eastAsia="en-ZA"/>
              </w:rPr>
            </w:pPr>
            <w:r w:rsidRPr="00D84DA7">
              <w:rPr>
                <w:rFonts w:ascii="Arial" w:eastAsia="Times New Roman" w:hAnsi="Arial" w:cs="Arial"/>
                <w:b/>
                <w:bCs/>
                <w:color w:val="000000"/>
                <w:sz w:val="20"/>
                <w:szCs w:val="20"/>
                <w:lang w:val="en-US" w:eastAsia="en-ZA"/>
              </w:rPr>
              <w:t>3.27</w:t>
            </w:r>
          </w:p>
        </w:tc>
        <w:tc>
          <w:tcPr>
            <w:tcW w:w="530" w:type="pct"/>
            <w:shd w:val="clear" w:color="auto" w:fill="auto"/>
            <w:vAlign w:val="center"/>
          </w:tcPr>
          <w:p w14:paraId="6A772535" w14:textId="77777777" w:rsidR="009A6C1A" w:rsidRPr="00D84DA7" w:rsidRDefault="009A6C1A" w:rsidP="00637D69">
            <w:pPr>
              <w:spacing w:before="40" w:after="40" w:line="276" w:lineRule="auto"/>
              <w:jc w:val="center"/>
              <w:rPr>
                <w:rFonts w:ascii="Arial" w:eastAsia="Times New Roman" w:hAnsi="Arial" w:cs="Arial"/>
                <w:b/>
                <w:bCs/>
                <w:color w:val="000000"/>
                <w:sz w:val="20"/>
                <w:szCs w:val="20"/>
                <w:lang w:val="en-US" w:eastAsia="en-ZA"/>
              </w:rPr>
            </w:pPr>
            <w:r w:rsidRPr="00D84DA7">
              <w:rPr>
                <w:rFonts w:ascii="Arial" w:eastAsia="Times New Roman" w:hAnsi="Arial" w:cs="Arial"/>
                <w:b/>
                <w:bCs/>
                <w:color w:val="000000"/>
                <w:sz w:val="20"/>
                <w:szCs w:val="20"/>
                <w:lang w:val="en-US" w:eastAsia="en-ZA"/>
              </w:rPr>
              <w:t>895</w:t>
            </w:r>
          </w:p>
        </w:tc>
        <w:tc>
          <w:tcPr>
            <w:tcW w:w="531" w:type="pct"/>
            <w:vAlign w:val="center"/>
          </w:tcPr>
          <w:p w14:paraId="77DB4B9A" w14:textId="77777777" w:rsidR="009A6C1A" w:rsidRPr="00D84DA7" w:rsidRDefault="009A6C1A" w:rsidP="00637D69">
            <w:pPr>
              <w:spacing w:before="40" w:after="40" w:line="276" w:lineRule="auto"/>
              <w:jc w:val="center"/>
              <w:rPr>
                <w:rFonts w:ascii="Arial" w:eastAsia="Times New Roman" w:hAnsi="Arial" w:cs="Arial"/>
                <w:b/>
                <w:bCs/>
                <w:color w:val="000000"/>
                <w:sz w:val="20"/>
                <w:szCs w:val="20"/>
                <w:lang w:val="en-US" w:eastAsia="en-ZA"/>
              </w:rPr>
            </w:pPr>
            <w:r w:rsidRPr="00D84DA7">
              <w:rPr>
                <w:rFonts w:ascii="Arial" w:eastAsia="Times New Roman" w:hAnsi="Arial" w:cs="Arial"/>
                <w:b/>
                <w:bCs/>
                <w:color w:val="000000"/>
                <w:sz w:val="20"/>
                <w:szCs w:val="20"/>
                <w:lang w:val="en-US" w:eastAsia="en-ZA"/>
              </w:rPr>
              <w:t>0.65</w:t>
            </w:r>
          </w:p>
        </w:tc>
        <w:tc>
          <w:tcPr>
            <w:tcW w:w="531" w:type="pct"/>
            <w:vAlign w:val="center"/>
          </w:tcPr>
          <w:p w14:paraId="32F03B9F" w14:textId="77777777" w:rsidR="009A6C1A" w:rsidRPr="00D84DA7" w:rsidRDefault="009A6C1A" w:rsidP="00637D69">
            <w:pPr>
              <w:spacing w:before="40" w:after="40" w:line="276" w:lineRule="auto"/>
              <w:jc w:val="center"/>
              <w:rPr>
                <w:rFonts w:ascii="Arial" w:eastAsia="Times New Roman" w:hAnsi="Arial" w:cs="Arial"/>
                <w:b/>
                <w:bCs/>
                <w:color w:val="000000"/>
                <w:sz w:val="20"/>
                <w:szCs w:val="20"/>
                <w:lang w:val="en-US" w:eastAsia="en-ZA"/>
              </w:rPr>
            </w:pPr>
            <w:r w:rsidRPr="00D84DA7">
              <w:rPr>
                <w:rFonts w:ascii="Arial" w:eastAsia="Times New Roman" w:hAnsi="Arial" w:cs="Arial"/>
                <w:b/>
                <w:bCs/>
                <w:color w:val="000000"/>
                <w:sz w:val="20"/>
                <w:szCs w:val="20"/>
                <w:lang w:val="en-US" w:eastAsia="en-ZA"/>
              </w:rPr>
              <w:t>5.11</w:t>
            </w:r>
          </w:p>
        </w:tc>
      </w:tr>
      <w:tr w:rsidR="009A6C1A" w:rsidRPr="00F94A7E" w14:paraId="40BB96C0" w14:textId="77777777" w:rsidTr="00637D69">
        <w:trPr>
          <w:trHeight w:val="266"/>
        </w:trPr>
        <w:tc>
          <w:tcPr>
            <w:tcW w:w="5000" w:type="pct"/>
            <w:gridSpan w:val="9"/>
          </w:tcPr>
          <w:p w14:paraId="46E7E1EA" w14:textId="27CF67B5" w:rsidR="009A6C1A" w:rsidRPr="00D84DA7" w:rsidRDefault="009A6C1A" w:rsidP="00637D69">
            <w:pPr>
              <w:jc w:val="both"/>
              <w:textAlignment w:val="baseline"/>
              <w:rPr>
                <w:rFonts w:ascii="Arial" w:hAnsi="Arial" w:cs="Arial"/>
                <w:b/>
                <w:bCs/>
                <w:i/>
                <w:iCs/>
                <w:sz w:val="20"/>
                <w:szCs w:val="20"/>
                <w:lang w:val="en-GB"/>
              </w:rPr>
            </w:pPr>
            <w:r w:rsidRPr="00D84DA7">
              <w:rPr>
                <w:rFonts w:ascii="Arial" w:hAnsi="Arial" w:cs="Arial"/>
                <w:b/>
                <w:bCs/>
                <w:i/>
                <w:iCs/>
                <w:sz w:val="20"/>
                <w:szCs w:val="20"/>
                <w:lang w:val="en-GB"/>
              </w:rPr>
              <w:t>Notes:</w:t>
            </w:r>
          </w:p>
          <w:p w14:paraId="48D29590" w14:textId="77777777" w:rsidR="009A6C1A" w:rsidRPr="00D64278" w:rsidRDefault="009A6C1A" w:rsidP="00637D69">
            <w:pPr>
              <w:numPr>
                <w:ilvl w:val="0"/>
                <w:numId w:val="15"/>
              </w:numPr>
              <w:spacing w:line="252" w:lineRule="auto"/>
              <w:jc w:val="both"/>
              <w:textAlignment w:val="baseline"/>
              <w:rPr>
                <w:rFonts w:ascii="Arial" w:hAnsi="Arial" w:cs="Arial"/>
                <w:i/>
                <w:iCs/>
                <w:sz w:val="18"/>
                <w:szCs w:val="18"/>
                <w:lang w:val="en-GB"/>
              </w:rPr>
            </w:pPr>
            <w:r w:rsidRPr="00D64278">
              <w:rPr>
                <w:rFonts w:ascii="Arial" w:hAnsi="Arial" w:cs="Arial"/>
                <w:i/>
                <w:iCs/>
                <w:sz w:val="18"/>
                <w:szCs w:val="18"/>
                <w:lang w:val="en-GB"/>
              </w:rPr>
              <w:t xml:space="preserve">*Au and Cu Equivalent determined by using a long-term gold price of US$1,700/oz and a copper price of US$3.50/lb with metallurgical recoveries not </w:t>
            </w:r>
            <w:proofErr w:type="gramStart"/>
            <w:r w:rsidRPr="00D64278">
              <w:rPr>
                <w:rFonts w:ascii="Arial" w:hAnsi="Arial" w:cs="Arial"/>
                <w:i/>
                <w:iCs/>
                <w:sz w:val="18"/>
                <w:szCs w:val="18"/>
                <w:lang w:val="en-GB"/>
              </w:rPr>
              <w:t>taken into account</w:t>
            </w:r>
            <w:proofErr w:type="gramEnd"/>
            <w:r w:rsidRPr="00D64278">
              <w:rPr>
                <w:rFonts w:ascii="Arial" w:hAnsi="Arial" w:cs="Arial"/>
                <w:i/>
                <w:iCs/>
                <w:sz w:val="18"/>
                <w:szCs w:val="18"/>
                <w:lang w:val="en-GB"/>
              </w:rPr>
              <w:t>.</w:t>
            </w:r>
          </w:p>
          <w:p w14:paraId="51C0A10F" w14:textId="7D99CC5F" w:rsidR="009A6C1A" w:rsidRPr="00D64278" w:rsidRDefault="009A6C1A" w:rsidP="00637D69">
            <w:pPr>
              <w:numPr>
                <w:ilvl w:val="0"/>
                <w:numId w:val="15"/>
              </w:numPr>
              <w:spacing w:line="252" w:lineRule="auto"/>
              <w:jc w:val="both"/>
              <w:textAlignment w:val="baseline"/>
              <w:rPr>
                <w:rFonts w:ascii="Arial" w:hAnsi="Arial" w:cs="Arial"/>
                <w:i/>
                <w:iCs/>
                <w:sz w:val="18"/>
                <w:szCs w:val="18"/>
                <w:lang w:val="en-GB"/>
              </w:rPr>
            </w:pPr>
            <w:r w:rsidRPr="00D64278">
              <w:rPr>
                <w:rFonts w:ascii="Arial" w:hAnsi="Arial" w:cs="Arial"/>
                <w:i/>
                <w:iCs/>
                <w:sz w:val="18"/>
                <w:szCs w:val="18"/>
                <w:lang w:val="en-GB"/>
              </w:rPr>
              <w:t>Mineral Resources are reported inclusive of Mineral Reserves. Mineral Resources that are not Mineral Reserves do not have demonstrated economic viability.</w:t>
            </w:r>
          </w:p>
          <w:p w14:paraId="65EF9DEE" w14:textId="36BDB1A7" w:rsidR="009A6C1A" w:rsidRPr="00D64278" w:rsidRDefault="009A6C1A" w:rsidP="00637D69">
            <w:pPr>
              <w:numPr>
                <w:ilvl w:val="0"/>
                <w:numId w:val="15"/>
              </w:numPr>
              <w:spacing w:line="252" w:lineRule="auto"/>
              <w:jc w:val="both"/>
              <w:textAlignment w:val="baseline"/>
              <w:rPr>
                <w:rFonts w:ascii="Arial" w:hAnsi="Arial" w:cs="Arial"/>
                <w:i/>
                <w:iCs/>
                <w:sz w:val="18"/>
                <w:szCs w:val="18"/>
                <w:lang w:val="en-GB"/>
              </w:rPr>
            </w:pPr>
            <w:r w:rsidRPr="00D64278">
              <w:rPr>
                <w:rFonts w:ascii="Arial" w:hAnsi="Arial" w:cs="Arial"/>
                <w:i/>
                <w:iCs/>
                <w:sz w:val="18"/>
                <w:szCs w:val="18"/>
                <w:lang w:val="en-GB"/>
              </w:rPr>
              <w:t>Mineral Resources are contained within a conceptual pit shell that are generated using the same economic and</w:t>
            </w:r>
            <w:r w:rsidRPr="00D64278">
              <w:rPr>
                <w:sz w:val="18"/>
                <w:szCs w:val="18"/>
                <w:lang w:val="en-GB"/>
              </w:rPr>
              <w:t xml:space="preserve"> </w:t>
            </w:r>
            <w:r w:rsidRPr="00D64278">
              <w:rPr>
                <w:rFonts w:ascii="Arial" w:hAnsi="Arial" w:cs="Arial"/>
                <w:i/>
                <w:iCs/>
                <w:sz w:val="18"/>
                <w:szCs w:val="18"/>
                <w:lang w:val="en-GB"/>
              </w:rPr>
              <w:t>technical parameters as used for Mineral Reserves but at gold price of US$1,700/oz and a copper price of US$3.50/lb.</w:t>
            </w:r>
          </w:p>
          <w:p w14:paraId="348A995D" w14:textId="77777777" w:rsidR="009A6C1A" w:rsidRPr="00D64278" w:rsidRDefault="009A6C1A" w:rsidP="00637D69">
            <w:pPr>
              <w:numPr>
                <w:ilvl w:val="0"/>
                <w:numId w:val="15"/>
              </w:numPr>
              <w:spacing w:line="252" w:lineRule="auto"/>
              <w:jc w:val="both"/>
              <w:textAlignment w:val="baseline"/>
              <w:rPr>
                <w:rFonts w:ascii="Arial" w:hAnsi="Arial" w:cs="Arial"/>
                <w:i/>
                <w:iCs/>
                <w:sz w:val="18"/>
                <w:szCs w:val="18"/>
                <w:lang w:val="en-GB"/>
              </w:rPr>
            </w:pPr>
            <w:r w:rsidRPr="00D64278">
              <w:rPr>
                <w:rFonts w:ascii="Arial" w:hAnsi="Arial" w:cs="Arial"/>
                <w:i/>
                <w:iCs/>
                <w:sz w:val="18"/>
                <w:szCs w:val="18"/>
                <w:lang w:val="en-GB"/>
              </w:rPr>
              <w:t xml:space="preserve">Colnic and Rovina deposits are amenable to open pit mining and Mineral Resources are Pit constrained and tabulated at a base case cut-off grade of 0.35 g/t </w:t>
            </w:r>
            <w:proofErr w:type="spellStart"/>
            <w:r w:rsidRPr="00D64278">
              <w:rPr>
                <w:rFonts w:ascii="Arial" w:hAnsi="Arial" w:cs="Arial"/>
                <w:i/>
                <w:iCs/>
                <w:sz w:val="18"/>
                <w:szCs w:val="18"/>
                <w:lang w:val="en-GB"/>
              </w:rPr>
              <w:t>AuEq</w:t>
            </w:r>
            <w:proofErr w:type="spellEnd"/>
            <w:r w:rsidRPr="00D64278">
              <w:rPr>
                <w:rFonts w:ascii="Arial" w:hAnsi="Arial" w:cs="Arial"/>
                <w:i/>
                <w:iCs/>
                <w:sz w:val="18"/>
                <w:szCs w:val="18"/>
                <w:lang w:val="en-GB"/>
              </w:rPr>
              <w:t xml:space="preserve"> for Colnic and 0.25 % </w:t>
            </w:r>
            <w:proofErr w:type="spellStart"/>
            <w:r w:rsidRPr="00D64278">
              <w:rPr>
                <w:rFonts w:ascii="Arial" w:hAnsi="Arial" w:cs="Arial"/>
                <w:i/>
                <w:iCs/>
                <w:sz w:val="18"/>
                <w:szCs w:val="18"/>
                <w:lang w:val="en-GB"/>
              </w:rPr>
              <w:t>CuEq</w:t>
            </w:r>
            <w:proofErr w:type="spellEnd"/>
            <w:r w:rsidRPr="00D64278">
              <w:rPr>
                <w:rFonts w:ascii="Arial" w:hAnsi="Arial" w:cs="Arial"/>
                <w:i/>
                <w:iCs/>
                <w:sz w:val="18"/>
                <w:szCs w:val="18"/>
                <w:lang w:val="en-GB"/>
              </w:rPr>
              <w:t xml:space="preserve"> for Rovina</w:t>
            </w:r>
          </w:p>
          <w:p w14:paraId="442A5FD3" w14:textId="7BE6E722" w:rsidR="009A6C1A" w:rsidRPr="00D64278" w:rsidRDefault="009A6C1A" w:rsidP="00637D69">
            <w:pPr>
              <w:pStyle w:val="ListParagraph"/>
              <w:numPr>
                <w:ilvl w:val="0"/>
                <w:numId w:val="15"/>
              </w:numPr>
              <w:jc w:val="both"/>
              <w:textAlignment w:val="baseline"/>
              <w:rPr>
                <w:rFonts w:ascii="Arial" w:hAnsi="Arial" w:cs="Arial"/>
                <w:i/>
                <w:iCs/>
                <w:sz w:val="18"/>
                <w:szCs w:val="18"/>
                <w:lang w:val="en-GB"/>
              </w:rPr>
            </w:pPr>
            <w:r w:rsidRPr="00D64278">
              <w:rPr>
                <w:rFonts w:ascii="Arial" w:hAnsi="Arial" w:cs="Arial"/>
                <w:i/>
                <w:iCs/>
                <w:sz w:val="18"/>
                <w:szCs w:val="18"/>
                <w:lang w:val="en-GB"/>
              </w:rPr>
              <w:t xml:space="preserve">Minor summation differences may occur, </w:t>
            </w:r>
            <w:r w:rsidR="002545BD" w:rsidRPr="00D64278">
              <w:rPr>
                <w:rFonts w:ascii="Arial" w:hAnsi="Arial" w:cs="Arial"/>
                <w:i/>
                <w:iCs/>
                <w:sz w:val="18"/>
                <w:szCs w:val="18"/>
                <w:lang w:val="en-GB"/>
              </w:rPr>
              <w:t xml:space="preserve">because of </w:t>
            </w:r>
            <w:r w:rsidRPr="00D64278">
              <w:rPr>
                <w:rFonts w:ascii="Arial" w:hAnsi="Arial" w:cs="Arial"/>
                <w:i/>
                <w:iCs/>
                <w:sz w:val="18"/>
                <w:szCs w:val="18"/>
                <w:lang w:val="en-GB"/>
              </w:rPr>
              <w:t>rounding.</w:t>
            </w:r>
          </w:p>
          <w:p w14:paraId="28AAEFBB" w14:textId="73F4C073" w:rsidR="009A6C1A" w:rsidRPr="00D84DA7" w:rsidRDefault="009A6C1A" w:rsidP="00091A24">
            <w:pPr>
              <w:pStyle w:val="ListParagraph"/>
              <w:numPr>
                <w:ilvl w:val="0"/>
                <w:numId w:val="15"/>
              </w:numPr>
              <w:jc w:val="both"/>
              <w:textAlignment w:val="baseline"/>
              <w:rPr>
                <w:rFonts w:ascii="Arial" w:hAnsi="Arial" w:cs="Arial"/>
                <w:i/>
                <w:iCs/>
                <w:sz w:val="20"/>
                <w:szCs w:val="20"/>
                <w:lang w:val="en-GB"/>
              </w:rPr>
            </w:pPr>
            <w:r w:rsidRPr="00D64278">
              <w:rPr>
                <w:rFonts w:ascii="Arial" w:hAnsi="Arial" w:cs="Arial"/>
                <w:i/>
                <w:iCs/>
                <w:sz w:val="18"/>
                <w:szCs w:val="18"/>
                <w:lang w:val="en-GB"/>
              </w:rPr>
              <w:t xml:space="preserve">Mineral Resource estimates follow the CIM definition standards for Mineral Resources and Reserves and have been completed in accordance with </w:t>
            </w:r>
            <w:r w:rsidR="00091A24">
              <w:rPr>
                <w:rFonts w:ascii="Arial" w:hAnsi="Arial" w:cs="Arial"/>
                <w:i/>
                <w:iCs/>
                <w:sz w:val="18"/>
                <w:szCs w:val="18"/>
                <w:lang w:val="en-GB"/>
              </w:rPr>
              <w:t>NI 43-101.</w:t>
            </w:r>
            <w:r w:rsidR="004B3D57">
              <w:rPr>
                <w:rFonts w:ascii="Arial" w:hAnsi="Arial" w:cs="Arial"/>
                <w:i/>
                <w:iCs/>
                <w:sz w:val="18"/>
                <w:szCs w:val="18"/>
                <w:lang w:val="en-GB"/>
              </w:rPr>
              <w:t xml:space="preserve"> With and effective date of January 31, 2022</w:t>
            </w:r>
          </w:p>
        </w:tc>
      </w:tr>
    </w:tbl>
    <w:p w14:paraId="779317F7" w14:textId="77777777" w:rsidR="009A6C1A" w:rsidRPr="00D84DA7" w:rsidRDefault="009A6C1A" w:rsidP="009A6C1A">
      <w:pPr>
        <w:pStyle w:val="Caption"/>
        <w:jc w:val="left"/>
      </w:pPr>
    </w:p>
    <w:p w14:paraId="5DA39FAC" w14:textId="77777777" w:rsidR="00040CE5" w:rsidRDefault="00040CE5">
      <w:pPr>
        <w:rPr>
          <w:rFonts w:ascii="Arial" w:hAnsi="Arial"/>
          <w:b/>
          <w:bCs/>
          <w:szCs w:val="18"/>
          <w:lang w:val="en-GB"/>
        </w:rPr>
      </w:pPr>
      <w:r>
        <w:br w:type="page"/>
      </w:r>
    </w:p>
    <w:p w14:paraId="610B653A" w14:textId="425FB548" w:rsidR="009A6C1A" w:rsidRPr="00D84DA7" w:rsidRDefault="009A6C1A" w:rsidP="009A6C1A">
      <w:pPr>
        <w:pStyle w:val="Caption"/>
        <w:jc w:val="left"/>
      </w:pPr>
      <w:r w:rsidRPr="00D84DA7">
        <w:lastRenderedPageBreak/>
        <w:t>Table 4: Rovina Valley 2019 Mineral Resource Estimate Ciresata Deposit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687"/>
        <w:gridCol w:w="1133"/>
        <w:gridCol w:w="739"/>
        <w:gridCol w:w="851"/>
        <w:gridCol w:w="1032"/>
        <w:gridCol w:w="742"/>
        <w:gridCol w:w="886"/>
        <w:gridCol w:w="1165"/>
      </w:tblGrid>
      <w:tr w:rsidR="009A6C1A" w:rsidRPr="00F94A7E" w14:paraId="5F721756" w14:textId="77777777" w:rsidTr="00637D69">
        <w:trPr>
          <w:trHeight w:val="544"/>
          <w:tblHeader/>
        </w:trPr>
        <w:tc>
          <w:tcPr>
            <w:tcW w:w="596" w:type="pct"/>
            <w:tcBorders>
              <w:bottom w:val="single" w:sz="4" w:space="0" w:color="auto"/>
            </w:tcBorders>
            <w:shd w:val="clear" w:color="auto" w:fill="FFC000"/>
          </w:tcPr>
          <w:p w14:paraId="0D373DB6" w14:textId="77777777" w:rsidR="009A6C1A" w:rsidRPr="00D84DA7" w:rsidRDefault="009A6C1A" w:rsidP="00637D69">
            <w:pPr>
              <w:jc w:val="both"/>
              <w:textAlignment w:val="baseline"/>
              <w:rPr>
                <w:rFonts w:ascii="Arial" w:hAnsi="Arial" w:cs="Arial"/>
                <w:b/>
                <w:bCs/>
                <w:sz w:val="20"/>
                <w:szCs w:val="20"/>
                <w:lang w:val="en-GB"/>
              </w:rPr>
            </w:pPr>
            <w:r w:rsidRPr="00D84DA7">
              <w:rPr>
                <w:rFonts w:ascii="Arial" w:hAnsi="Arial" w:cs="Arial"/>
                <w:b/>
                <w:bCs/>
                <w:sz w:val="20"/>
                <w:szCs w:val="20"/>
                <w:lang w:val="en-GB"/>
              </w:rPr>
              <w:t>Deposit</w:t>
            </w:r>
          </w:p>
        </w:tc>
        <w:tc>
          <w:tcPr>
            <w:tcW w:w="902" w:type="pct"/>
            <w:tcBorders>
              <w:bottom w:val="single" w:sz="4" w:space="0" w:color="auto"/>
            </w:tcBorders>
            <w:shd w:val="clear" w:color="auto" w:fill="FFC000"/>
          </w:tcPr>
          <w:p w14:paraId="1B472837" w14:textId="77777777" w:rsidR="009A6C1A" w:rsidRPr="00D84DA7" w:rsidRDefault="009A6C1A" w:rsidP="00637D69">
            <w:pPr>
              <w:jc w:val="both"/>
              <w:textAlignment w:val="baseline"/>
              <w:rPr>
                <w:rFonts w:ascii="Arial" w:hAnsi="Arial" w:cs="Arial"/>
                <w:b/>
                <w:bCs/>
                <w:sz w:val="20"/>
                <w:szCs w:val="20"/>
                <w:lang w:val="en-GB"/>
              </w:rPr>
            </w:pPr>
            <w:r w:rsidRPr="00D84DA7">
              <w:rPr>
                <w:rFonts w:ascii="Arial" w:hAnsi="Arial" w:cs="Arial"/>
                <w:b/>
                <w:bCs/>
                <w:sz w:val="20"/>
                <w:szCs w:val="20"/>
                <w:lang w:val="en-GB"/>
              </w:rPr>
              <w:t>Classification</w:t>
            </w:r>
          </w:p>
        </w:tc>
        <w:tc>
          <w:tcPr>
            <w:tcW w:w="606" w:type="pct"/>
            <w:tcBorders>
              <w:bottom w:val="single" w:sz="4" w:space="0" w:color="auto"/>
            </w:tcBorders>
            <w:shd w:val="clear" w:color="auto" w:fill="FFC000"/>
          </w:tcPr>
          <w:p w14:paraId="13DE8932"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Tonnage</w:t>
            </w:r>
          </w:p>
          <w:p w14:paraId="5B41F404"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(Mt)</w:t>
            </w:r>
          </w:p>
        </w:tc>
        <w:tc>
          <w:tcPr>
            <w:tcW w:w="395" w:type="pct"/>
            <w:tcBorders>
              <w:bottom w:val="single" w:sz="4" w:space="0" w:color="auto"/>
            </w:tcBorders>
            <w:shd w:val="clear" w:color="auto" w:fill="FFC000"/>
          </w:tcPr>
          <w:p w14:paraId="0C3B27C8"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Au</w:t>
            </w:r>
          </w:p>
          <w:p w14:paraId="5471CD77"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(g/t)</w:t>
            </w:r>
          </w:p>
        </w:tc>
        <w:tc>
          <w:tcPr>
            <w:tcW w:w="455" w:type="pct"/>
            <w:tcBorders>
              <w:bottom w:val="single" w:sz="4" w:space="0" w:color="auto"/>
            </w:tcBorders>
            <w:shd w:val="clear" w:color="auto" w:fill="FFC000"/>
          </w:tcPr>
          <w:p w14:paraId="2CE435B5"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Cu</w:t>
            </w:r>
          </w:p>
          <w:p w14:paraId="49ED34AC"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w:t>
            </w:r>
          </w:p>
        </w:tc>
        <w:tc>
          <w:tcPr>
            <w:tcW w:w="552" w:type="pct"/>
            <w:tcBorders>
              <w:bottom w:val="single" w:sz="4" w:space="0" w:color="auto"/>
            </w:tcBorders>
            <w:shd w:val="clear" w:color="auto" w:fill="FFC000"/>
          </w:tcPr>
          <w:p w14:paraId="2C0A951C"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Au</w:t>
            </w:r>
          </w:p>
          <w:p w14:paraId="2D0718DB"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(Moz)</w:t>
            </w:r>
          </w:p>
        </w:tc>
        <w:tc>
          <w:tcPr>
            <w:tcW w:w="397" w:type="pct"/>
            <w:tcBorders>
              <w:bottom w:val="single" w:sz="4" w:space="0" w:color="auto"/>
            </w:tcBorders>
            <w:shd w:val="clear" w:color="auto" w:fill="FFC000"/>
          </w:tcPr>
          <w:p w14:paraId="0451608E"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 xml:space="preserve"> Cu</w:t>
            </w:r>
          </w:p>
          <w:p w14:paraId="40F1D6A4"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w:t>
            </w:r>
            <w:proofErr w:type="spellStart"/>
            <w:r w:rsidRPr="00D84DA7">
              <w:rPr>
                <w:rFonts w:ascii="Arial" w:hAnsi="Arial" w:cs="Arial"/>
                <w:b/>
                <w:bCs/>
                <w:sz w:val="20"/>
                <w:szCs w:val="20"/>
                <w:lang w:val="en-GB"/>
              </w:rPr>
              <w:t>Mlb</w:t>
            </w:r>
            <w:proofErr w:type="spellEnd"/>
            <w:r w:rsidRPr="00D84DA7">
              <w:rPr>
                <w:rFonts w:ascii="Arial" w:hAnsi="Arial" w:cs="Arial"/>
                <w:b/>
                <w:bCs/>
                <w:sz w:val="20"/>
                <w:szCs w:val="20"/>
                <w:lang w:val="en-GB"/>
              </w:rPr>
              <w:t>)</w:t>
            </w:r>
          </w:p>
        </w:tc>
        <w:tc>
          <w:tcPr>
            <w:tcW w:w="474" w:type="pct"/>
            <w:tcBorders>
              <w:bottom w:val="single" w:sz="4" w:space="0" w:color="auto"/>
            </w:tcBorders>
            <w:shd w:val="clear" w:color="auto" w:fill="FFC000"/>
          </w:tcPr>
          <w:p w14:paraId="18C42E1E"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 xml:space="preserve">Au </w:t>
            </w:r>
            <w:proofErr w:type="spellStart"/>
            <w:r w:rsidRPr="00D84DA7">
              <w:rPr>
                <w:rFonts w:ascii="Arial" w:hAnsi="Arial" w:cs="Arial"/>
                <w:b/>
                <w:bCs/>
                <w:sz w:val="20"/>
                <w:szCs w:val="20"/>
                <w:lang w:val="en-GB"/>
              </w:rPr>
              <w:t>Eq</w:t>
            </w:r>
            <w:proofErr w:type="spellEnd"/>
            <w:r w:rsidRPr="00D84DA7">
              <w:rPr>
                <w:rFonts w:ascii="Arial" w:hAnsi="Arial" w:cs="Arial"/>
                <w:b/>
                <w:bCs/>
                <w:sz w:val="20"/>
                <w:szCs w:val="20"/>
                <w:lang w:val="en-GB"/>
              </w:rPr>
              <w:t>*</w:t>
            </w:r>
          </w:p>
          <w:p w14:paraId="3929F4E3"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(g/t)</w:t>
            </w:r>
          </w:p>
        </w:tc>
        <w:tc>
          <w:tcPr>
            <w:tcW w:w="623" w:type="pct"/>
            <w:tcBorders>
              <w:bottom w:val="single" w:sz="4" w:space="0" w:color="auto"/>
            </w:tcBorders>
            <w:shd w:val="clear" w:color="auto" w:fill="FFC000"/>
          </w:tcPr>
          <w:p w14:paraId="19A486F4"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 xml:space="preserve">Au </w:t>
            </w:r>
            <w:proofErr w:type="spellStart"/>
            <w:r w:rsidRPr="00D84DA7">
              <w:rPr>
                <w:rFonts w:ascii="Arial" w:hAnsi="Arial" w:cs="Arial"/>
                <w:b/>
                <w:bCs/>
                <w:sz w:val="20"/>
                <w:szCs w:val="20"/>
                <w:lang w:val="en-GB"/>
              </w:rPr>
              <w:t>Eq</w:t>
            </w:r>
            <w:proofErr w:type="spellEnd"/>
            <w:r w:rsidRPr="00D84DA7">
              <w:rPr>
                <w:rFonts w:ascii="Arial" w:hAnsi="Arial" w:cs="Arial"/>
                <w:b/>
                <w:bCs/>
                <w:sz w:val="20"/>
                <w:szCs w:val="20"/>
                <w:lang w:val="en-GB"/>
              </w:rPr>
              <w:t>*</w:t>
            </w:r>
          </w:p>
          <w:p w14:paraId="57D9F3FD" w14:textId="77777777" w:rsidR="009A6C1A" w:rsidRPr="00D84DA7" w:rsidRDefault="009A6C1A" w:rsidP="00637D69">
            <w:pPr>
              <w:jc w:val="center"/>
              <w:textAlignment w:val="baseline"/>
              <w:rPr>
                <w:rFonts w:ascii="Arial" w:hAnsi="Arial" w:cs="Arial"/>
                <w:b/>
                <w:bCs/>
                <w:sz w:val="20"/>
                <w:szCs w:val="20"/>
                <w:lang w:val="en-GB"/>
              </w:rPr>
            </w:pPr>
            <w:r w:rsidRPr="00D84DA7">
              <w:rPr>
                <w:rFonts w:ascii="Arial" w:hAnsi="Arial" w:cs="Arial"/>
                <w:b/>
                <w:bCs/>
                <w:sz w:val="20"/>
                <w:szCs w:val="20"/>
                <w:lang w:val="en-GB"/>
              </w:rPr>
              <w:t>(Moz)</w:t>
            </w:r>
          </w:p>
        </w:tc>
      </w:tr>
      <w:tr w:rsidR="009A6C1A" w:rsidRPr="00F94A7E" w14:paraId="4A95CDCE" w14:textId="77777777" w:rsidTr="00637D69">
        <w:trPr>
          <w:trHeight w:val="266"/>
        </w:trPr>
        <w:tc>
          <w:tcPr>
            <w:tcW w:w="596" w:type="pct"/>
            <w:vMerge w:val="restart"/>
            <w:tcBorders>
              <w:top w:val="single" w:sz="4" w:space="0" w:color="auto"/>
            </w:tcBorders>
            <w:vAlign w:val="center"/>
          </w:tcPr>
          <w:p w14:paraId="36F623B2" w14:textId="77777777" w:rsidR="009A6C1A" w:rsidRPr="00D84DA7" w:rsidRDefault="009A6C1A" w:rsidP="00637D69">
            <w:pPr>
              <w:spacing w:before="60" w:after="60"/>
              <w:textAlignment w:val="baseline"/>
              <w:rPr>
                <w:rFonts w:ascii="Arial" w:hAnsi="Arial" w:cs="Arial"/>
                <w:sz w:val="20"/>
                <w:szCs w:val="20"/>
                <w:lang w:val="en-GB"/>
              </w:rPr>
            </w:pPr>
            <w:r w:rsidRPr="00D84DA7">
              <w:rPr>
                <w:rFonts w:ascii="Arial" w:hAnsi="Arial" w:cs="Arial"/>
                <w:sz w:val="20"/>
                <w:szCs w:val="20"/>
                <w:lang w:val="en-GB"/>
              </w:rPr>
              <w:t>Ciresata</w:t>
            </w:r>
          </w:p>
        </w:tc>
        <w:tc>
          <w:tcPr>
            <w:tcW w:w="902" w:type="pct"/>
            <w:tcBorders>
              <w:top w:val="single" w:sz="4" w:space="0" w:color="auto"/>
            </w:tcBorders>
            <w:shd w:val="clear" w:color="auto" w:fill="auto"/>
            <w:vAlign w:val="center"/>
          </w:tcPr>
          <w:p w14:paraId="1BC43B42" w14:textId="77777777" w:rsidR="009A6C1A" w:rsidRPr="00D84DA7" w:rsidRDefault="009A6C1A" w:rsidP="00637D69">
            <w:pPr>
              <w:spacing w:before="60" w:after="60"/>
              <w:textAlignment w:val="baseline"/>
              <w:rPr>
                <w:rFonts w:ascii="Arial" w:hAnsi="Arial" w:cs="Arial"/>
                <w:sz w:val="20"/>
                <w:szCs w:val="20"/>
                <w:lang w:val="en-GB"/>
              </w:rPr>
            </w:pPr>
            <w:r w:rsidRPr="00D84DA7">
              <w:rPr>
                <w:rFonts w:ascii="Arial" w:hAnsi="Arial" w:cs="Arial"/>
                <w:sz w:val="20"/>
                <w:szCs w:val="20"/>
                <w:lang w:val="en-GB"/>
              </w:rPr>
              <w:t xml:space="preserve">Measured </w:t>
            </w:r>
          </w:p>
        </w:tc>
        <w:tc>
          <w:tcPr>
            <w:tcW w:w="606" w:type="pct"/>
            <w:tcBorders>
              <w:top w:val="single" w:sz="4" w:space="0" w:color="auto"/>
            </w:tcBorders>
            <w:shd w:val="clear" w:color="auto" w:fill="auto"/>
            <w:vAlign w:val="center"/>
          </w:tcPr>
          <w:p w14:paraId="5222136A" w14:textId="77777777" w:rsidR="009A6C1A" w:rsidRPr="00D84DA7" w:rsidRDefault="009A6C1A" w:rsidP="00637D69">
            <w:pPr>
              <w:spacing w:before="60" w:after="60"/>
              <w:jc w:val="center"/>
              <w:textAlignment w:val="baseline"/>
              <w:rPr>
                <w:rFonts w:ascii="Arial" w:hAnsi="Arial" w:cs="Arial"/>
                <w:sz w:val="20"/>
                <w:szCs w:val="20"/>
                <w:lang w:val="en-GB"/>
              </w:rPr>
            </w:pPr>
            <w:r w:rsidRPr="00D84DA7">
              <w:rPr>
                <w:rFonts w:ascii="Arial" w:hAnsi="Arial" w:cs="Arial"/>
                <w:sz w:val="20"/>
                <w:szCs w:val="20"/>
                <w:lang w:val="en-GB"/>
              </w:rPr>
              <w:t>28.5</w:t>
            </w:r>
          </w:p>
        </w:tc>
        <w:tc>
          <w:tcPr>
            <w:tcW w:w="395" w:type="pct"/>
            <w:tcBorders>
              <w:top w:val="single" w:sz="4" w:space="0" w:color="auto"/>
            </w:tcBorders>
            <w:shd w:val="clear" w:color="auto" w:fill="auto"/>
            <w:vAlign w:val="center"/>
          </w:tcPr>
          <w:p w14:paraId="004FAB71" w14:textId="77777777" w:rsidR="009A6C1A" w:rsidRPr="00D84DA7" w:rsidRDefault="009A6C1A" w:rsidP="00637D69">
            <w:pPr>
              <w:spacing w:before="60" w:after="60"/>
              <w:jc w:val="center"/>
              <w:textAlignment w:val="baseline"/>
              <w:rPr>
                <w:rFonts w:ascii="Arial" w:hAnsi="Arial" w:cs="Arial"/>
                <w:sz w:val="20"/>
                <w:szCs w:val="20"/>
                <w:lang w:val="en-GB"/>
              </w:rPr>
            </w:pPr>
            <w:r w:rsidRPr="00D84DA7">
              <w:rPr>
                <w:rFonts w:ascii="Arial" w:hAnsi="Arial" w:cs="Arial"/>
                <w:sz w:val="20"/>
                <w:szCs w:val="20"/>
                <w:lang w:val="en-GB"/>
              </w:rPr>
              <w:t>0.88</w:t>
            </w:r>
          </w:p>
        </w:tc>
        <w:tc>
          <w:tcPr>
            <w:tcW w:w="455" w:type="pct"/>
            <w:tcBorders>
              <w:top w:val="single" w:sz="4" w:space="0" w:color="auto"/>
            </w:tcBorders>
            <w:vAlign w:val="center"/>
          </w:tcPr>
          <w:p w14:paraId="0B70D10A" w14:textId="77777777" w:rsidR="009A6C1A" w:rsidRPr="00D84DA7" w:rsidRDefault="009A6C1A" w:rsidP="00637D69">
            <w:pPr>
              <w:spacing w:before="60" w:after="60"/>
              <w:jc w:val="center"/>
              <w:textAlignment w:val="baseline"/>
              <w:rPr>
                <w:rFonts w:ascii="Arial" w:hAnsi="Arial" w:cs="Arial"/>
                <w:sz w:val="20"/>
                <w:szCs w:val="20"/>
                <w:lang w:val="en-GB"/>
              </w:rPr>
            </w:pPr>
            <w:r w:rsidRPr="00D84DA7">
              <w:rPr>
                <w:rFonts w:ascii="Arial" w:hAnsi="Arial" w:cs="Arial"/>
                <w:sz w:val="20"/>
                <w:szCs w:val="20"/>
                <w:lang w:val="en-GB"/>
              </w:rPr>
              <w:t>0.16</w:t>
            </w:r>
          </w:p>
        </w:tc>
        <w:tc>
          <w:tcPr>
            <w:tcW w:w="552" w:type="pct"/>
            <w:tcBorders>
              <w:top w:val="single" w:sz="4" w:space="0" w:color="auto"/>
            </w:tcBorders>
            <w:shd w:val="clear" w:color="auto" w:fill="auto"/>
            <w:vAlign w:val="center"/>
          </w:tcPr>
          <w:p w14:paraId="02102EF3" w14:textId="77777777" w:rsidR="009A6C1A" w:rsidRPr="00D84DA7" w:rsidRDefault="009A6C1A" w:rsidP="00637D69">
            <w:pPr>
              <w:spacing w:before="60" w:after="60"/>
              <w:jc w:val="center"/>
              <w:textAlignment w:val="baseline"/>
              <w:rPr>
                <w:rFonts w:ascii="Arial" w:hAnsi="Arial" w:cs="Arial"/>
                <w:sz w:val="20"/>
                <w:szCs w:val="20"/>
                <w:lang w:val="en-GB"/>
              </w:rPr>
            </w:pPr>
            <w:r w:rsidRPr="00D84DA7">
              <w:rPr>
                <w:rFonts w:ascii="Arial" w:hAnsi="Arial" w:cs="Arial"/>
                <w:sz w:val="20"/>
                <w:szCs w:val="20"/>
                <w:lang w:val="en-GB"/>
              </w:rPr>
              <w:t>0.81</w:t>
            </w:r>
          </w:p>
        </w:tc>
        <w:tc>
          <w:tcPr>
            <w:tcW w:w="397" w:type="pct"/>
            <w:tcBorders>
              <w:top w:val="single" w:sz="4" w:space="0" w:color="auto"/>
            </w:tcBorders>
            <w:shd w:val="clear" w:color="auto" w:fill="auto"/>
            <w:vAlign w:val="center"/>
          </w:tcPr>
          <w:p w14:paraId="41E5D89D" w14:textId="77777777" w:rsidR="009A6C1A" w:rsidRPr="00D84DA7" w:rsidRDefault="009A6C1A" w:rsidP="00637D69">
            <w:pPr>
              <w:spacing w:before="60" w:after="60"/>
              <w:jc w:val="center"/>
              <w:textAlignment w:val="baseline"/>
              <w:rPr>
                <w:rFonts w:ascii="Arial" w:hAnsi="Arial" w:cs="Arial"/>
                <w:sz w:val="20"/>
                <w:szCs w:val="20"/>
                <w:lang w:val="en-GB"/>
              </w:rPr>
            </w:pPr>
            <w:r w:rsidRPr="00D84DA7">
              <w:rPr>
                <w:rFonts w:ascii="Arial" w:hAnsi="Arial" w:cs="Arial"/>
                <w:sz w:val="20"/>
                <w:szCs w:val="20"/>
                <w:lang w:val="en-GB"/>
              </w:rPr>
              <w:t>102</w:t>
            </w:r>
          </w:p>
        </w:tc>
        <w:tc>
          <w:tcPr>
            <w:tcW w:w="474" w:type="pct"/>
            <w:tcBorders>
              <w:top w:val="single" w:sz="4" w:space="0" w:color="auto"/>
            </w:tcBorders>
            <w:vAlign w:val="center"/>
          </w:tcPr>
          <w:p w14:paraId="29B3E066" w14:textId="77777777" w:rsidR="009A6C1A" w:rsidRPr="00D84DA7" w:rsidRDefault="009A6C1A" w:rsidP="00637D69">
            <w:pPr>
              <w:spacing w:before="60" w:after="60"/>
              <w:jc w:val="center"/>
              <w:textAlignment w:val="baseline"/>
              <w:rPr>
                <w:rFonts w:ascii="Arial" w:hAnsi="Arial" w:cs="Arial"/>
                <w:sz w:val="20"/>
                <w:szCs w:val="20"/>
                <w:lang w:val="en-GB"/>
              </w:rPr>
            </w:pPr>
            <w:r w:rsidRPr="00D84DA7">
              <w:rPr>
                <w:rFonts w:ascii="Arial" w:hAnsi="Arial" w:cs="Arial"/>
                <w:sz w:val="20"/>
                <w:szCs w:val="20"/>
                <w:lang w:val="en-GB"/>
              </w:rPr>
              <w:t>1.13</w:t>
            </w:r>
          </w:p>
        </w:tc>
        <w:tc>
          <w:tcPr>
            <w:tcW w:w="623" w:type="pct"/>
            <w:tcBorders>
              <w:top w:val="single" w:sz="4" w:space="0" w:color="auto"/>
            </w:tcBorders>
            <w:vAlign w:val="center"/>
          </w:tcPr>
          <w:p w14:paraId="74B47913" w14:textId="77777777" w:rsidR="009A6C1A" w:rsidRPr="00D84DA7" w:rsidRDefault="009A6C1A" w:rsidP="00637D69">
            <w:pPr>
              <w:spacing w:before="60" w:after="60"/>
              <w:jc w:val="center"/>
              <w:textAlignment w:val="baseline"/>
              <w:rPr>
                <w:rFonts w:ascii="Arial" w:hAnsi="Arial" w:cs="Arial"/>
                <w:sz w:val="20"/>
                <w:szCs w:val="20"/>
                <w:lang w:val="en-GB"/>
              </w:rPr>
            </w:pPr>
            <w:r w:rsidRPr="00D84DA7">
              <w:rPr>
                <w:rFonts w:ascii="Arial" w:hAnsi="Arial" w:cs="Arial"/>
                <w:sz w:val="20"/>
                <w:szCs w:val="20"/>
                <w:lang w:val="en-GB"/>
              </w:rPr>
              <w:t>1.03</w:t>
            </w:r>
          </w:p>
        </w:tc>
      </w:tr>
      <w:tr w:rsidR="009A6C1A" w:rsidRPr="00F94A7E" w14:paraId="70F3F6F2" w14:textId="77777777" w:rsidTr="00637D69">
        <w:trPr>
          <w:trHeight w:val="266"/>
        </w:trPr>
        <w:tc>
          <w:tcPr>
            <w:tcW w:w="596" w:type="pct"/>
            <w:vMerge/>
            <w:vAlign w:val="center"/>
          </w:tcPr>
          <w:p w14:paraId="70053412" w14:textId="77777777" w:rsidR="009A6C1A" w:rsidRPr="00D84DA7" w:rsidRDefault="009A6C1A" w:rsidP="00637D69">
            <w:pPr>
              <w:spacing w:before="60" w:after="60"/>
              <w:textAlignment w:val="baseline"/>
              <w:rPr>
                <w:rFonts w:ascii="Arial" w:hAnsi="Arial" w:cs="Arial"/>
                <w:sz w:val="20"/>
                <w:szCs w:val="20"/>
                <w:lang w:val="en-GB"/>
              </w:rPr>
            </w:pPr>
          </w:p>
        </w:tc>
        <w:tc>
          <w:tcPr>
            <w:tcW w:w="902" w:type="pct"/>
            <w:shd w:val="clear" w:color="auto" w:fill="auto"/>
            <w:vAlign w:val="center"/>
          </w:tcPr>
          <w:p w14:paraId="12AB8762" w14:textId="77777777" w:rsidR="009A6C1A" w:rsidRPr="00D84DA7" w:rsidRDefault="009A6C1A" w:rsidP="00637D69">
            <w:pPr>
              <w:spacing w:before="60" w:after="60"/>
              <w:textAlignment w:val="baseline"/>
              <w:rPr>
                <w:rFonts w:ascii="Arial" w:hAnsi="Arial" w:cs="Arial"/>
                <w:sz w:val="20"/>
                <w:szCs w:val="20"/>
                <w:lang w:val="en-GB"/>
              </w:rPr>
            </w:pPr>
            <w:r w:rsidRPr="00D84DA7">
              <w:rPr>
                <w:rFonts w:ascii="Arial" w:hAnsi="Arial" w:cs="Arial"/>
                <w:sz w:val="20"/>
                <w:szCs w:val="20"/>
                <w:lang w:val="en-GB"/>
              </w:rPr>
              <w:t>Indicated</w:t>
            </w:r>
          </w:p>
        </w:tc>
        <w:tc>
          <w:tcPr>
            <w:tcW w:w="606" w:type="pct"/>
            <w:shd w:val="clear" w:color="auto" w:fill="auto"/>
            <w:vAlign w:val="center"/>
          </w:tcPr>
          <w:p w14:paraId="5975835B" w14:textId="77777777" w:rsidR="009A6C1A" w:rsidRPr="00D84DA7" w:rsidRDefault="009A6C1A" w:rsidP="00637D69">
            <w:pPr>
              <w:spacing w:before="60" w:after="60"/>
              <w:jc w:val="center"/>
              <w:textAlignment w:val="baseline"/>
              <w:rPr>
                <w:rFonts w:ascii="Arial" w:hAnsi="Arial" w:cs="Arial"/>
                <w:sz w:val="20"/>
                <w:szCs w:val="20"/>
                <w:lang w:val="en-GB"/>
              </w:rPr>
            </w:pPr>
            <w:r w:rsidRPr="00D84DA7">
              <w:rPr>
                <w:rFonts w:ascii="Arial" w:hAnsi="Arial" w:cs="Arial"/>
                <w:sz w:val="20"/>
                <w:szCs w:val="20"/>
                <w:lang w:val="en-GB"/>
              </w:rPr>
              <w:t>125.9</w:t>
            </w:r>
          </w:p>
        </w:tc>
        <w:tc>
          <w:tcPr>
            <w:tcW w:w="395" w:type="pct"/>
            <w:shd w:val="clear" w:color="auto" w:fill="auto"/>
            <w:vAlign w:val="center"/>
          </w:tcPr>
          <w:p w14:paraId="0C3D2236" w14:textId="77777777" w:rsidR="009A6C1A" w:rsidRPr="00D84DA7" w:rsidRDefault="009A6C1A" w:rsidP="00637D69">
            <w:pPr>
              <w:spacing w:before="60" w:after="60"/>
              <w:jc w:val="center"/>
              <w:textAlignment w:val="baseline"/>
              <w:rPr>
                <w:rFonts w:ascii="Arial" w:hAnsi="Arial" w:cs="Arial"/>
                <w:sz w:val="20"/>
                <w:szCs w:val="20"/>
                <w:lang w:val="en-GB"/>
              </w:rPr>
            </w:pPr>
            <w:r w:rsidRPr="00D84DA7">
              <w:rPr>
                <w:rFonts w:ascii="Arial" w:hAnsi="Arial" w:cs="Arial"/>
                <w:sz w:val="20"/>
                <w:szCs w:val="20"/>
                <w:lang w:val="en-GB"/>
              </w:rPr>
              <w:t>0.74</w:t>
            </w:r>
          </w:p>
        </w:tc>
        <w:tc>
          <w:tcPr>
            <w:tcW w:w="455" w:type="pct"/>
            <w:vAlign w:val="center"/>
          </w:tcPr>
          <w:p w14:paraId="20563787" w14:textId="77777777" w:rsidR="009A6C1A" w:rsidRPr="00D84DA7" w:rsidRDefault="009A6C1A" w:rsidP="00637D69">
            <w:pPr>
              <w:spacing w:before="60" w:after="60"/>
              <w:jc w:val="center"/>
              <w:textAlignment w:val="baseline"/>
              <w:rPr>
                <w:rFonts w:ascii="Arial" w:hAnsi="Arial" w:cs="Arial"/>
                <w:sz w:val="20"/>
                <w:szCs w:val="20"/>
                <w:lang w:val="en-GB"/>
              </w:rPr>
            </w:pPr>
            <w:r w:rsidRPr="00D84DA7">
              <w:rPr>
                <w:rFonts w:ascii="Arial" w:hAnsi="Arial" w:cs="Arial"/>
                <w:sz w:val="20"/>
                <w:szCs w:val="20"/>
                <w:lang w:val="en-GB"/>
              </w:rPr>
              <w:t>0.15</w:t>
            </w:r>
          </w:p>
        </w:tc>
        <w:tc>
          <w:tcPr>
            <w:tcW w:w="552" w:type="pct"/>
            <w:shd w:val="clear" w:color="auto" w:fill="auto"/>
            <w:vAlign w:val="center"/>
          </w:tcPr>
          <w:p w14:paraId="269CFB94" w14:textId="77777777" w:rsidR="009A6C1A" w:rsidRPr="00D84DA7" w:rsidRDefault="009A6C1A" w:rsidP="00637D69">
            <w:pPr>
              <w:spacing w:before="60" w:after="60"/>
              <w:jc w:val="center"/>
              <w:textAlignment w:val="baseline"/>
              <w:rPr>
                <w:rFonts w:ascii="Arial" w:hAnsi="Arial" w:cs="Arial"/>
                <w:sz w:val="20"/>
                <w:szCs w:val="20"/>
                <w:lang w:val="en-GB"/>
              </w:rPr>
            </w:pPr>
            <w:r w:rsidRPr="00D84DA7">
              <w:rPr>
                <w:rFonts w:ascii="Arial" w:hAnsi="Arial" w:cs="Arial"/>
                <w:sz w:val="20"/>
                <w:szCs w:val="20"/>
                <w:lang w:val="en-GB"/>
              </w:rPr>
              <w:t>3.01</w:t>
            </w:r>
          </w:p>
        </w:tc>
        <w:tc>
          <w:tcPr>
            <w:tcW w:w="397" w:type="pct"/>
            <w:shd w:val="clear" w:color="auto" w:fill="auto"/>
            <w:vAlign w:val="center"/>
          </w:tcPr>
          <w:p w14:paraId="6F6C25D1" w14:textId="77777777" w:rsidR="009A6C1A" w:rsidRPr="00D84DA7" w:rsidRDefault="009A6C1A" w:rsidP="00637D69">
            <w:pPr>
              <w:spacing w:before="60" w:after="60"/>
              <w:jc w:val="center"/>
              <w:textAlignment w:val="baseline"/>
              <w:rPr>
                <w:rFonts w:ascii="Arial" w:hAnsi="Arial" w:cs="Arial"/>
                <w:sz w:val="20"/>
                <w:szCs w:val="20"/>
                <w:lang w:val="en-GB"/>
              </w:rPr>
            </w:pPr>
            <w:r w:rsidRPr="00D84DA7">
              <w:rPr>
                <w:rFonts w:ascii="Arial" w:hAnsi="Arial" w:cs="Arial"/>
                <w:sz w:val="20"/>
                <w:szCs w:val="20"/>
                <w:lang w:val="en-GB"/>
              </w:rPr>
              <w:t>413</w:t>
            </w:r>
          </w:p>
        </w:tc>
        <w:tc>
          <w:tcPr>
            <w:tcW w:w="474" w:type="pct"/>
            <w:vAlign w:val="center"/>
          </w:tcPr>
          <w:p w14:paraId="22F3C6F4" w14:textId="77777777" w:rsidR="009A6C1A" w:rsidRPr="00D84DA7" w:rsidRDefault="009A6C1A" w:rsidP="00637D69">
            <w:pPr>
              <w:spacing w:before="60" w:after="60"/>
              <w:jc w:val="center"/>
              <w:textAlignment w:val="baseline"/>
              <w:rPr>
                <w:rFonts w:ascii="Arial" w:hAnsi="Arial" w:cs="Arial"/>
                <w:sz w:val="20"/>
                <w:szCs w:val="20"/>
                <w:lang w:val="en-GB"/>
              </w:rPr>
            </w:pPr>
            <w:r w:rsidRPr="00D84DA7">
              <w:rPr>
                <w:rFonts w:ascii="Arial" w:hAnsi="Arial" w:cs="Arial"/>
                <w:sz w:val="20"/>
                <w:szCs w:val="20"/>
                <w:lang w:val="en-GB"/>
              </w:rPr>
              <w:t>0.97</w:t>
            </w:r>
          </w:p>
        </w:tc>
        <w:tc>
          <w:tcPr>
            <w:tcW w:w="623" w:type="pct"/>
            <w:vAlign w:val="center"/>
          </w:tcPr>
          <w:p w14:paraId="7D243436" w14:textId="77777777" w:rsidR="009A6C1A" w:rsidRPr="00D84DA7" w:rsidRDefault="009A6C1A" w:rsidP="00637D69">
            <w:pPr>
              <w:spacing w:before="60" w:after="60"/>
              <w:jc w:val="center"/>
              <w:textAlignment w:val="baseline"/>
              <w:rPr>
                <w:rFonts w:ascii="Arial" w:hAnsi="Arial" w:cs="Arial"/>
                <w:sz w:val="20"/>
                <w:szCs w:val="20"/>
                <w:lang w:val="en-GB"/>
              </w:rPr>
            </w:pPr>
            <w:r w:rsidRPr="00D84DA7">
              <w:rPr>
                <w:rFonts w:ascii="Arial" w:hAnsi="Arial" w:cs="Arial"/>
                <w:sz w:val="20"/>
                <w:szCs w:val="20"/>
                <w:lang w:val="en-GB"/>
              </w:rPr>
              <w:t>3.92</w:t>
            </w:r>
          </w:p>
        </w:tc>
      </w:tr>
      <w:tr w:rsidR="009A6C1A" w:rsidRPr="00F94A7E" w14:paraId="3405A31A" w14:textId="77777777" w:rsidTr="00637D69">
        <w:trPr>
          <w:trHeight w:val="544"/>
        </w:trPr>
        <w:tc>
          <w:tcPr>
            <w:tcW w:w="596" w:type="pct"/>
            <w:vAlign w:val="center"/>
          </w:tcPr>
          <w:p w14:paraId="5A55A184" w14:textId="77777777" w:rsidR="009A6C1A" w:rsidRPr="00D84DA7" w:rsidRDefault="009A6C1A" w:rsidP="00637D69">
            <w:pPr>
              <w:spacing w:before="60" w:after="60"/>
              <w:textAlignment w:val="baseline"/>
              <w:rPr>
                <w:rFonts w:ascii="Arial" w:hAnsi="Arial" w:cs="Arial"/>
                <w:b/>
                <w:bCs/>
                <w:sz w:val="20"/>
                <w:szCs w:val="20"/>
                <w:lang w:val="en-GB"/>
              </w:rPr>
            </w:pPr>
            <w:r w:rsidRPr="00D84DA7">
              <w:rPr>
                <w:rFonts w:ascii="Arial" w:hAnsi="Arial" w:cs="Arial"/>
                <w:b/>
                <w:bCs/>
                <w:sz w:val="20"/>
                <w:szCs w:val="20"/>
                <w:lang w:val="en-GB"/>
              </w:rPr>
              <w:t>Total</w:t>
            </w:r>
          </w:p>
        </w:tc>
        <w:tc>
          <w:tcPr>
            <w:tcW w:w="902" w:type="pct"/>
            <w:shd w:val="clear" w:color="auto" w:fill="auto"/>
            <w:vAlign w:val="center"/>
          </w:tcPr>
          <w:p w14:paraId="22222BAF" w14:textId="77777777" w:rsidR="009A6C1A" w:rsidRPr="00D84DA7" w:rsidRDefault="009A6C1A" w:rsidP="00637D69">
            <w:pPr>
              <w:spacing w:before="60" w:after="60"/>
              <w:textAlignment w:val="baseline"/>
              <w:rPr>
                <w:rFonts w:ascii="Arial" w:hAnsi="Arial" w:cs="Arial"/>
                <w:b/>
                <w:bCs/>
                <w:sz w:val="20"/>
                <w:szCs w:val="20"/>
                <w:lang w:val="en-GB"/>
              </w:rPr>
            </w:pPr>
            <w:r w:rsidRPr="00D84DA7">
              <w:rPr>
                <w:rFonts w:ascii="Arial" w:hAnsi="Arial" w:cs="Arial"/>
                <w:b/>
                <w:bCs/>
                <w:sz w:val="20"/>
                <w:szCs w:val="20"/>
                <w:lang w:val="en-GB"/>
              </w:rPr>
              <w:t xml:space="preserve">Measured &amp; </w:t>
            </w:r>
            <w:proofErr w:type="gramStart"/>
            <w:r w:rsidRPr="00D84DA7">
              <w:rPr>
                <w:rFonts w:ascii="Arial" w:hAnsi="Arial" w:cs="Arial"/>
                <w:b/>
                <w:bCs/>
                <w:sz w:val="20"/>
                <w:szCs w:val="20"/>
                <w:lang w:val="en-GB"/>
              </w:rPr>
              <w:t>Indicated</w:t>
            </w:r>
            <w:proofErr w:type="gramEnd"/>
          </w:p>
        </w:tc>
        <w:tc>
          <w:tcPr>
            <w:tcW w:w="606" w:type="pct"/>
            <w:shd w:val="clear" w:color="auto" w:fill="auto"/>
            <w:vAlign w:val="center"/>
          </w:tcPr>
          <w:p w14:paraId="13F28D2D" w14:textId="77777777" w:rsidR="009A6C1A" w:rsidRPr="00D84DA7" w:rsidRDefault="009A6C1A" w:rsidP="00637D69">
            <w:pPr>
              <w:spacing w:before="60" w:after="60"/>
              <w:jc w:val="center"/>
              <w:textAlignment w:val="baseline"/>
              <w:rPr>
                <w:rFonts w:ascii="Arial" w:hAnsi="Arial" w:cs="Arial"/>
                <w:b/>
                <w:bCs/>
                <w:sz w:val="20"/>
                <w:szCs w:val="20"/>
                <w:lang w:val="en-GB"/>
              </w:rPr>
            </w:pPr>
            <w:r w:rsidRPr="00D84DA7">
              <w:rPr>
                <w:rFonts w:ascii="Arial" w:hAnsi="Arial" w:cs="Arial"/>
                <w:b/>
                <w:bCs/>
                <w:sz w:val="20"/>
                <w:szCs w:val="20"/>
                <w:lang w:val="en-GB"/>
              </w:rPr>
              <w:t>154.4</w:t>
            </w:r>
          </w:p>
        </w:tc>
        <w:tc>
          <w:tcPr>
            <w:tcW w:w="395" w:type="pct"/>
            <w:shd w:val="clear" w:color="auto" w:fill="auto"/>
            <w:vAlign w:val="center"/>
          </w:tcPr>
          <w:p w14:paraId="5B1EBE74" w14:textId="77777777" w:rsidR="009A6C1A" w:rsidRPr="00D84DA7" w:rsidRDefault="009A6C1A" w:rsidP="00637D69">
            <w:pPr>
              <w:spacing w:before="60" w:after="60"/>
              <w:jc w:val="center"/>
              <w:textAlignment w:val="baseline"/>
              <w:rPr>
                <w:rFonts w:ascii="Arial" w:hAnsi="Arial" w:cs="Arial"/>
                <w:b/>
                <w:bCs/>
                <w:sz w:val="20"/>
                <w:szCs w:val="20"/>
                <w:lang w:val="en-GB"/>
              </w:rPr>
            </w:pPr>
            <w:r w:rsidRPr="00D84DA7">
              <w:rPr>
                <w:rFonts w:ascii="Arial" w:hAnsi="Arial" w:cs="Arial"/>
                <w:b/>
                <w:bCs/>
                <w:sz w:val="20"/>
                <w:szCs w:val="20"/>
                <w:lang w:val="en-GB"/>
              </w:rPr>
              <w:t>0.77</w:t>
            </w:r>
          </w:p>
        </w:tc>
        <w:tc>
          <w:tcPr>
            <w:tcW w:w="455" w:type="pct"/>
            <w:vAlign w:val="center"/>
          </w:tcPr>
          <w:p w14:paraId="457D5071" w14:textId="77777777" w:rsidR="009A6C1A" w:rsidRPr="00D84DA7" w:rsidRDefault="009A6C1A" w:rsidP="00637D69">
            <w:pPr>
              <w:spacing w:before="60" w:after="60"/>
              <w:jc w:val="center"/>
              <w:textAlignment w:val="baseline"/>
              <w:rPr>
                <w:rFonts w:ascii="Arial" w:hAnsi="Arial" w:cs="Arial"/>
                <w:b/>
                <w:bCs/>
                <w:sz w:val="20"/>
                <w:szCs w:val="20"/>
                <w:lang w:val="en-GB"/>
              </w:rPr>
            </w:pPr>
            <w:r w:rsidRPr="00D84DA7">
              <w:rPr>
                <w:rFonts w:ascii="Arial" w:hAnsi="Arial" w:cs="Arial"/>
                <w:b/>
                <w:bCs/>
                <w:sz w:val="20"/>
                <w:szCs w:val="20"/>
                <w:lang w:val="en-GB"/>
              </w:rPr>
              <w:t>0.15</w:t>
            </w:r>
          </w:p>
        </w:tc>
        <w:tc>
          <w:tcPr>
            <w:tcW w:w="552" w:type="pct"/>
            <w:shd w:val="clear" w:color="auto" w:fill="auto"/>
            <w:vAlign w:val="center"/>
          </w:tcPr>
          <w:p w14:paraId="7383D2E5" w14:textId="77777777" w:rsidR="009A6C1A" w:rsidRPr="00D84DA7" w:rsidRDefault="009A6C1A" w:rsidP="00637D69">
            <w:pPr>
              <w:spacing w:before="60" w:after="60"/>
              <w:jc w:val="center"/>
              <w:textAlignment w:val="baseline"/>
              <w:rPr>
                <w:rFonts w:ascii="Arial" w:hAnsi="Arial" w:cs="Arial"/>
                <w:b/>
                <w:bCs/>
                <w:sz w:val="20"/>
                <w:szCs w:val="20"/>
                <w:lang w:val="en-GB"/>
              </w:rPr>
            </w:pPr>
            <w:r w:rsidRPr="00D84DA7">
              <w:rPr>
                <w:rFonts w:ascii="Arial" w:hAnsi="Arial" w:cs="Arial"/>
                <w:b/>
                <w:bCs/>
                <w:sz w:val="20"/>
                <w:szCs w:val="20"/>
                <w:lang w:val="en-GB"/>
              </w:rPr>
              <w:t>3.82</w:t>
            </w:r>
          </w:p>
        </w:tc>
        <w:tc>
          <w:tcPr>
            <w:tcW w:w="397" w:type="pct"/>
            <w:shd w:val="clear" w:color="auto" w:fill="auto"/>
            <w:vAlign w:val="center"/>
          </w:tcPr>
          <w:p w14:paraId="233E7ED9" w14:textId="77777777" w:rsidR="009A6C1A" w:rsidRPr="00D84DA7" w:rsidRDefault="009A6C1A" w:rsidP="00637D69">
            <w:pPr>
              <w:spacing w:before="60" w:after="60"/>
              <w:jc w:val="center"/>
              <w:textAlignment w:val="baseline"/>
              <w:rPr>
                <w:rFonts w:ascii="Arial" w:hAnsi="Arial" w:cs="Arial"/>
                <w:b/>
                <w:bCs/>
                <w:sz w:val="20"/>
                <w:szCs w:val="20"/>
                <w:lang w:val="en-GB"/>
              </w:rPr>
            </w:pPr>
            <w:r w:rsidRPr="00D84DA7">
              <w:rPr>
                <w:rFonts w:ascii="Arial" w:hAnsi="Arial" w:cs="Arial"/>
                <w:b/>
                <w:bCs/>
                <w:sz w:val="20"/>
                <w:szCs w:val="20"/>
                <w:lang w:val="en-GB"/>
              </w:rPr>
              <w:t>515</w:t>
            </w:r>
          </w:p>
        </w:tc>
        <w:tc>
          <w:tcPr>
            <w:tcW w:w="474" w:type="pct"/>
            <w:vAlign w:val="center"/>
          </w:tcPr>
          <w:p w14:paraId="2F9514CA" w14:textId="77777777" w:rsidR="009A6C1A" w:rsidRPr="00D84DA7" w:rsidRDefault="009A6C1A" w:rsidP="00637D69">
            <w:pPr>
              <w:spacing w:before="60" w:after="60"/>
              <w:jc w:val="center"/>
              <w:textAlignment w:val="baseline"/>
              <w:rPr>
                <w:rFonts w:ascii="Arial" w:hAnsi="Arial" w:cs="Arial"/>
                <w:b/>
                <w:bCs/>
                <w:sz w:val="20"/>
                <w:szCs w:val="20"/>
                <w:lang w:val="en-GB"/>
              </w:rPr>
            </w:pPr>
            <w:r w:rsidRPr="00D84DA7">
              <w:rPr>
                <w:rFonts w:ascii="Arial" w:hAnsi="Arial" w:cs="Arial"/>
                <w:b/>
                <w:bCs/>
                <w:sz w:val="20"/>
                <w:szCs w:val="20"/>
                <w:lang w:val="en-GB"/>
              </w:rPr>
              <w:t>1.00</w:t>
            </w:r>
          </w:p>
        </w:tc>
        <w:tc>
          <w:tcPr>
            <w:tcW w:w="623" w:type="pct"/>
            <w:vAlign w:val="center"/>
          </w:tcPr>
          <w:p w14:paraId="054B4794" w14:textId="77777777" w:rsidR="009A6C1A" w:rsidRPr="00D84DA7" w:rsidRDefault="009A6C1A" w:rsidP="00637D69">
            <w:pPr>
              <w:spacing w:before="60" w:after="60"/>
              <w:jc w:val="center"/>
              <w:textAlignment w:val="baseline"/>
              <w:rPr>
                <w:rFonts w:ascii="Arial" w:hAnsi="Arial" w:cs="Arial"/>
                <w:b/>
                <w:bCs/>
                <w:sz w:val="20"/>
                <w:szCs w:val="20"/>
                <w:lang w:val="en-GB"/>
              </w:rPr>
            </w:pPr>
            <w:r w:rsidRPr="00D84DA7">
              <w:rPr>
                <w:rFonts w:ascii="Arial" w:hAnsi="Arial" w:cs="Arial"/>
                <w:b/>
                <w:bCs/>
                <w:sz w:val="20"/>
                <w:szCs w:val="20"/>
                <w:lang w:val="en-GB"/>
              </w:rPr>
              <w:t>4.95</w:t>
            </w:r>
          </w:p>
        </w:tc>
      </w:tr>
      <w:tr w:rsidR="009A6C1A" w:rsidRPr="00F94A7E" w14:paraId="3638EF95" w14:textId="77777777" w:rsidTr="00637D69">
        <w:trPr>
          <w:trHeight w:val="153"/>
        </w:trPr>
        <w:tc>
          <w:tcPr>
            <w:tcW w:w="5000" w:type="pct"/>
            <w:gridSpan w:val="9"/>
          </w:tcPr>
          <w:p w14:paraId="574EE7F9" w14:textId="77777777" w:rsidR="009A6C1A" w:rsidRPr="00D84DA7" w:rsidRDefault="009A6C1A" w:rsidP="00637D69">
            <w:pPr>
              <w:jc w:val="both"/>
              <w:textAlignment w:val="baseline"/>
              <w:rPr>
                <w:rFonts w:ascii="Arial" w:hAnsi="Arial" w:cs="Arial"/>
                <w:b/>
                <w:bCs/>
                <w:i/>
                <w:iCs/>
                <w:sz w:val="20"/>
                <w:szCs w:val="20"/>
                <w:lang w:val="en-GB"/>
              </w:rPr>
            </w:pPr>
            <w:r w:rsidRPr="00D84DA7">
              <w:rPr>
                <w:rFonts w:ascii="Arial" w:hAnsi="Arial" w:cs="Arial"/>
                <w:b/>
                <w:bCs/>
                <w:i/>
                <w:iCs/>
                <w:sz w:val="20"/>
                <w:szCs w:val="20"/>
                <w:lang w:val="en-GB"/>
              </w:rPr>
              <w:t>Notes:</w:t>
            </w:r>
          </w:p>
          <w:p w14:paraId="092618E5" w14:textId="3942490F" w:rsidR="009A6C1A" w:rsidRPr="00D84DA7" w:rsidRDefault="009A6C1A" w:rsidP="00637D69">
            <w:pPr>
              <w:numPr>
                <w:ilvl w:val="0"/>
                <w:numId w:val="15"/>
              </w:numPr>
              <w:spacing w:line="252" w:lineRule="auto"/>
              <w:jc w:val="both"/>
              <w:textAlignment w:val="baseline"/>
              <w:rPr>
                <w:rFonts w:ascii="Arial" w:hAnsi="Arial" w:cs="Arial"/>
                <w:i/>
                <w:iCs/>
                <w:sz w:val="20"/>
                <w:szCs w:val="20"/>
                <w:lang w:val="en-GB"/>
              </w:rPr>
            </w:pPr>
            <w:r w:rsidRPr="00D84DA7">
              <w:rPr>
                <w:rFonts w:ascii="Arial" w:hAnsi="Arial" w:cs="Arial"/>
                <w:i/>
                <w:iCs/>
                <w:sz w:val="20"/>
                <w:szCs w:val="20"/>
                <w:lang w:val="en-GB"/>
              </w:rPr>
              <w:t xml:space="preserve">From Table 14-20, Technical Report “Rovina Valley Project, Preliminary Economic Assessment, NI 43-101, Feb. 20, </w:t>
            </w:r>
            <w:proofErr w:type="gramStart"/>
            <w:r w:rsidRPr="00D84DA7">
              <w:rPr>
                <w:rFonts w:ascii="Arial" w:hAnsi="Arial" w:cs="Arial"/>
                <w:i/>
                <w:iCs/>
                <w:sz w:val="20"/>
                <w:szCs w:val="20"/>
                <w:lang w:val="en-GB"/>
              </w:rPr>
              <w:t>2019“ from</w:t>
            </w:r>
            <w:proofErr w:type="gramEnd"/>
            <w:r w:rsidRPr="00D84DA7">
              <w:rPr>
                <w:rFonts w:ascii="Arial" w:hAnsi="Arial" w:cs="Arial"/>
                <w:i/>
                <w:iCs/>
                <w:sz w:val="20"/>
                <w:szCs w:val="20"/>
                <w:lang w:val="en-GB"/>
              </w:rPr>
              <w:t xml:space="preserve"> AGP Mining Consultants Inc (available on SEDAR</w:t>
            </w:r>
            <w:r w:rsidR="004C5C47">
              <w:rPr>
                <w:rFonts w:ascii="Arial" w:hAnsi="Arial" w:cs="Arial"/>
                <w:i/>
                <w:iCs/>
                <w:sz w:val="20"/>
                <w:szCs w:val="20"/>
                <w:lang w:val="en-GB"/>
              </w:rPr>
              <w:t>)</w:t>
            </w:r>
            <w:r w:rsidR="00091A24">
              <w:rPr>
                <w:rFonts w:ascii="Arial" w:hAnsi="Arial" w:cs="Arial"/>
                <w:i/>
                <w:iCs/>
                <w:sz w:val="20"/>
                <w:szCs w:val="20"/>
                <w:lang w:val="en-GB"/>
              </w:rPr>
              <w:t xml:space="preserve">. This preliminary economic assessment is preliminary in nature and there is no certainty that the preliminary economic assessment will be realized. </w:t>
            </w:r>
          </w:p>
          <w:p w14:paraId="1595D014" w14:textId="77777777" w:rsidR="009A6C1A" w:rsidRPr="00D84DA7" w:rsidRDefault="009A6C1A" w:rsidP="00637D69">
            <w:pPr>
              <w:numPr>
                <w:ilvl w:val="0"/>
                <w:numId w:val="15"/>
              </w:numPr>
              <w:spacing w:line="252" w:lineRule="auto"/>
              <w:jc w:val="both"/>
              <w:textAlignment w:val="baseline"/>
              <w:rPr>
                <w:rFonts w:ascii="Arial" w:hAnsi="Arial" w:cs="Arial"/>
                <w:i/>
                <w:iCs/>
                <w:sz w:val="20"/>
                <w:szCs w:val="20"/>
                <w:lang w:val="en-GB"/>
              </w:rPr>
            </w:pPr>
            <w:r w:rsidRPr="00D84DA7">
              <w:rPr>
                <w:rFonts w:ascii="Arial" w:hAnsi="Arial" w:cs="Arial"/>
                <w:i/>
                <w:iCs/>
                <w:sz w:val="20"/>
                <w:szCs w:val="20"/>
                <w:lang w:val="en-GB"/>
              </w:rPr>
              <w:t xml:space="preserve">Au and Cu Equivalent determined by using a long-term gold price of US$1,500/oz and a copper price of US$3.50/lb </w:t>
            </w:r>
            <w:r w:rsidRPr="00D84DA7">
              <w:rPr>
                <w:rFonts w:ascii="Arial" w:eastAsia="Times New Roman" w:hAnsi="Arial" w:cs="Arial"/>
                <w:i/>
                <w:iCs/>
                <w:sz w:val="20"/>
                <w:szCs w:val="20"/>
              </w:rPr>
              <w:t xml:space="preserve">with metallurgical recoveries not </w:t>
            </w:r>
            <w:proofErr w:type="gramStart"/>
            <w:r w:rsidRPr="00D84DA7">
              <w:rPr>
                <w:rFonts w:ascii="Arial" w:eastAsia="Times New Roman" w:hAnsi="Arial" w:cs="Arial"/>
                <w:i/>
                <w:iCs/>
                <w:sz w:val="20"/>
                <w:szCs w:val="20"/>
              </w:rPr>
              <w:t>taken into account</w:t>
            </w:r>
            <w:proofErr w:type="gramEnd"/>
            <w:r w:rsidRPr="00D84DA7">
              <w:rPr>
                <w:rFonts w:ascii="Arial" w:eastAsia="Times New Roman" w:hAnsi="Arial" w:cs="Arial"/>
                <w:i/>
                <w:iCs/>
                <w:sz w:val="20"/>
                <w:szCs w:val="20"/>
              </w:rPr>
              <w:t>.</w:t>
            </w:r>
          </w:p>
          <w:p w14:paraId="2F5C3C4D" w14:textId="365F6209" w:rsidR="009A6C1A" w:rsidRPr="00D84DA7" w:rsidRDefault="009A6C1A" w:rsidP="00637D69">
            <w:pPr>
              <w:numPr>
                <w:ilvl w:val="0"/>
                <w:numId w:val="15"/>
              </w:numPr>
              <w:spacing w:line="252" w:lineRule="auto"/>
              <w:jc w:val="both"/>
              <w:textAlignment w:val="baseline"/>
              <w:rPr>
                <w:rFonts w:ascii="Arial" w:hAnsi="Arial" w:cs="Arial"/>
                <w:i/>
                <w:iCs/>
                <w:sz w:val="20"/>
                <w:szCs w:val="20"/>
                <w:lang w:val="en-GB"/>
              </w:rPr>
            </w:pPr>
            <w:r w:rsidRPr="00D84DA7">
              <w:rPr>
                <w:rFonts w:ascii="Arial" w:hAnsi="Arial" w:cs="Arial"/>
                <w:i/>
                <w:iCs/>
                <w:sz w:val="20"/>
                <w:szCs w:val="20"/>
                <w:lang w:val="en-GB"/>
              </w:rPr>
              <w:t xml:space="preserve">The Ciresata deposit is amenable to bulk underground mining and resources are tabulated at a base case 0.65 g/t Au </w:t>
            </w:r>
            <w:proofErr w:type="spellStart"/>
            <w:r w:rsidRPr="00D84DA7">
              <w:rPr>
                <w:rFonts w:ascii="Arial" w:hAnsi="Arial" w:cs="Arial"/>
                <w:i/>
                <w:iCs/>
                <w:sz w:val="20"/>
                <w:szCs w:val="20"/>
                <w:lang w:val="en-GB"/>
              </w:rPr>
              <w:t>eq</w:t>
            </w:r>
            <w:proofErr w:type="spellEnd"/>
            <w:r w:rsidRPr="00D84DA7">
              <w:rPr>
                <w:rFonts w:ascii="Arial" w:hAnsi="Arial" w:cs="Arial"/>
                <w:i/>
                <w:iCs/>
                <w:sz w:val="20"/>
                <w:szCs w:val="20"/>
                <w:lang w:val="en-GB"/>
              </w:rPr>
              <w:t xml:space="preserve"> </w:t>
            </w:r>
          </w:p>
          <w:p w14:paraId="00820FD2" w14:textId="77777777" w:rsidR="009A6C1A" w:rsidRPr="00D84DA7" w:rsidRDefault="009A6C1A" w:rsidP="00637D69">
            <w:pPr>
              <w:numPr>
                <w:ilvl w:val="0"/>
                <w:numId w:val="15"/>
              </w:numPr>
              <w:spacing w:line="252" w:lineRule="auto"/>
              <w:jc w:val="both"/>
              <w:textAlignment w:val="baseline"/>
              <w:rPr>
                <w:rFonts w:ascii="Arial" w:hAnsi="Arial" w:cs="Arial"/>
                <w:i/>
                <w:iCs/>
                <w:sz w:val="20"/>
                <w:szCs w:val="20"/>
                <w:lang w:val="en-GB"/>
              </w:rPr>
            </w:pPr>
            <w:r w:rsidRPr="00D84DA7">
              <w:rPr>
                <w:rFonts w:ascii="Arial" w:hAnsi="Arial" w:cs="Arial"/>
                <w:i/>
                <w:iCs/>
                <w:sz w:val="20"/>
                <w:szCs w:val="20"/>
                <w:lang w:val="en-GB"/>
              </w:rPr>
              <w:t>No Mineral Reserves have been defined at the Ciresata deposit. Mineral Resources that are not Mineral Reserves do not have demonstrated economic viability.</w:t>
            </w:r>
          </w:p>
          <w:p w14:paraId="18A5A776" w14:textId="77777777" w:rsidR="009A6C1A" w:rsidRPr="00D84DA7" w:rsidRDefault="009A6C1A" w:rsidP="00637D69">
            <w:pPr>
              <w:pStyle w:val="ListParagraph"/>
              <w:numPr>
                <w:ilvl w:val="0"/>
                <w:numId w:val="15"/>
              </w:numPr>
              <w:spacing w:before="60" w:after="60"/>
              <w:textAlignment w:val="baseline"/>
              <w:rPr>
                <w:rFonts w:ascii="Arial" w:hAnsi="Arial" w:cs="Arial"/>
                <w:i/>
                <w:iCs/>
                <w:sz w:val="20"/>
                <w:szCs w:val="20"/>
                <w:lang w:val="en-GB"/>
              </w:rPr>
            </w:pPr>
            <w:r w:rsidRPr="00D84DA7">
              <w:rPr>
                <w:rFonts w:ascii="Arial" w:hAnsi="Arial" w:cs="Arial"/>
                <w:i/>
                <w:iCs/>
                <w:sz w:val="20"/>
                <w:szCs w:val="20"/>
                <w:lang w:val="en-GB"/>
              </w:rPr>
              <w:t xml:space="preserve">Minor summation differences may occur, </w:t>
            </w:r>
            <w:proofErr w:type="gramStart"/>
            <w:r w:rsidRPr="00D84DA7">
              <w:rPr>
                <w:rFonts w:ascii="Arial" w:hAnsi="Arial" w:cs="Arial"/>
                <w:i/>
                <w:iCs/>
                <w:sz w:val="20"/>
                <w:szCs w:val="20"/>
                <w:lang w:val="en-GB"/>
              </w:rPr>
              <w:t>as a result of</w:t>
            </w:r>
            <w:proofErr w:type="gramEnd"/>
            <w:r w:rsidRPr="00D84DA7">
              <w:rPr>
                <w:rFonts w:ascii="Arial" w:hAnsi="Arial" w:cs="Arial"/>
                <w:i/>
                <w:iCs/>
                <w:sz w:val="20"/>
                <w:szCs w:val="20"/>
                <w:lang w:val="en-GB"/>
              </w:rPr>
              <w:t xml:space="preserve"> rounding.</w:t>
            </w:r>
          </w:p>
          <w:p w14:paraId="261607E0" w14:textId="45F907D5" w:rsidR="009A6C1A" w:rsidRPr="00D84DA7" w:rsidRDefault="009A6C1A" w:rsidP="000A229E">
            <w:pPr>
              <w:pStyle w:val="ListParagraph"/>
              <w:numPr>
                <w:ilvl w:val="0"/>
                <w:numId w:val="15"/>
              </w:numPr>
              <w:spacing w:before="60" w:after="60"/>
              <w:textAlignment w:val="baseline"/>
              <w:rPr>
                <w:rFonts w:ascii="Arial" w:hAnsi="Arial" w:cs="Arial"/>
                <w:i/>
                <w:iCs/>
                <w:sz w:val="20"/>
                <w:szCs w:val="20"/>
                <w:lang w:val="en-GB"/>
              </w:rPr>
            </w:pPr>
            <w:r w:rsidRPr="00D84DA7">
              <w:rPr>
                <w:rFonts w:ascii="Arial" w:hAnsi="Arial" w:cs="Arial"/>
                <w:i/>
                <w:iCs/>
                <w:sz w:val="20"/>
                <w:szCs w:val="20"/>
                <w:lang w:val="en-GB"/>
              </w:rPr>
              <w:t xml:space="preserve">Mineral Resource estimates follow the CIM definition standards for Mineral Resources and Reserves and have been completed in accordance with the Standards of Disclosure for Mineral Projects as defined by </w:t>
            </w:r>
            <w:r w:rsidR="000A229E">
              <w:rPr>
                <w:rFonts w:ascii="Arial" w:hAnsi="Arial" w:cs="Arial"/>
                <w:i/>
                <w:iCs/>
                <w:sz w:val="20"/>
                <w:szCs w:val="20"/>
                <w:lang w:val="en-GB"/>
              </w:rPr>
              <w:t xml:space="preserve">NI 43-101. </w:t>
            </w:r>
          </w:p>
        </w:tc>
      </w:tr>
    </w:tbl>
    <w:p w14:paraId="414C0919" w14:textId="77777777" w:rsidR="009A6C1A" w:rsidRPr="00D84DA7" w:rsidRDefault="009A6C1A" w:rsidP="009A6C1A">
      <w:pPr>
        <w:rPr>
          <w:rFonts w:ascii="Arial" w:hAnsi="Arial" w:cs="Arial"/>
          <w:b/>
          <w:bCs/>
          <w:i/>
          <w:iCs/>
          <w:color w:val="000000"/>
          <w:lang w:val="en-GB"/>
        </w:rPr>
      </w:pPr>
    </w:p>
    <w:p w14:paraId="1D05DDB3" w14:textId="77777777" w:rsidR="009A6C1A" w:rsidRPr="008B271D" w:rsidRDefault="009A6C1A" w:rsidP="009A6C1A">
      <w:pPr>
        <w:rPr>
          <w:rFonts w:ascii="Arial" w:hAnsi="Arial" w:cs="Arial"/>
          <w:b/>
          <w:bCs/>
          <w:i/>
          <w:iCs/>
          <w:color w:val="000000"/>
          <w:lang w:val="en-GB"/>
        </w:rPr>
      </w:pPr>
      <w:r w:rsidRPr="00D84DA7">
        <w:rPr>
          <w:rFonts w:ascii="Arial" w:hAnsi="Arial" w:cs="Arial"/>
          <w:b/>
          <w:bCs/>
          <w:i/>
          <w:iCs/>
          <w:color w:val="000000"/>
          <w:lang w:val="en-GB"/>
        </w:rPr>
        <w:t xml:space="preserve">On a consolidated basis of measured and indicated resources, the Rovina Valley Project includes 399.5 Mt containing 7.09 Moz gold and 1,410 </w:t>
      </w:r>
      <w:proofErr w:type="spellStart"/>
      <w:r w:rsidRPr="00D84DA7">
        <w:rPr>
          <w:rFonts w:ascii="Arial" w:hAnsi="Arial" w:cs="Arial"/>
          <w:b/>
          <w:bCs/>
          <w:i/>
          <w:iCs/>
          <w:color w:val="000000"/>
          <w:lang w:val="en-GB"/>
        </w:rPr>
        <w:t>Mlbs</w:t>
      </w:r>
      <w:proofErr w:type="spellEnd"/>
      <w:r w:rsidRPr="00D84DA7">
        <w:rPr>
          <w:rFonts w:ascii="Arial" w:hAnsi="Arial" w:cs="Arial"/>
          <w:b/>
          <w:bCs/>
          <w:i/>
          <w:iCs/>
          <w:color w:val="000000"/>
          <w:lang w:val="en-GB"/>
        </w:rPr>
        <w:t xml:space="preserve"> copper equal to 10.06 M gold equivalent ounces.</w:t>
      </w:r>
    </w:p>
    <w:p w14:paraId="0516D8CC" w14:textId="77777777" w:rsidR="009A6C1A" w:rsidRDefault="009A6C1A" w:rsidP="009A6C1A">
      <w:pPr>
        <w:rPr>
          <w:rFonts w:ascii="Arial" w:hAnsi="Arial" w:cs="Arial"/>
          <w:b/>
          <w:lang w:val="en-GB"/>
        </w:rPr>
      </w:pPr>
    </w:p>
    <w:p w14:paraId="48377E94" w14:textId="13614793" w:rsidR="00232C26" w:rsidRDefault="00232C26" w:rsidP="00232C26">
      <w:pPr>
        <w:rPr>
          <w:rFonts w:ascii="Arial" w:hAnsi="Arial" w:cs="Arial"/>
          <w:b/>
          <w:bCs/>
        </w:rPr>
      </w:pPr>
      <w:r w:rsidRPr="00534327">
        <w:rPr>
          <w:rFonts w:ascii="Arial" w:hAnsi="Arial" w:cs="Arial"/>
          <w:b/>
          <w:bCs/>
        </w:rPr>
        <w:t>Qualified Persons</w:t>
      </w:r>
    </w:p>
    <w:p w14:paraId="16037E8A" w14:textId="77777777" w:rsidR="00EE3788" w:rsidRPr="00534327" w:rsidRDefault="00EE3788" w:rsidP="00232C26">
      <w:pPr>
        <w:rPr>
          <w:rFonts w:ascii="Arial" w:hAnsi="Arial" w:cs="Arial"/>
          <w:b/>
          <w:bCs/>
        </w:rPr>
      </w:pPr>
    </w:p>
    <w:p w14:paraId="324543CD" w14:textId="4411C7D9" w:rsidR="00CE62E8" w:rsidRDefault="00CE62E8" w:rsidP="00EE3788">
      <w:pPr>
        <w:pStyle w:val="xmsonormal"/>
        <w:jc w:val="both"/>
      </w:pPr>
      <w:r>
        <w:rPr>
          <w:rFonts w:ascii="Arial" w:hAnsi="Arial" w:cs="Arial"/>
        </w:rPr>
        <w:t xml:space="preserve">The mineral reserve </w:t>
      </w:r>
      <w:r w:rsidR="005837D0">
        <w:rPr>
          <w:rFonts w:ascii="Arial" w:hAnsi="Arial" w:cs="Arial"/>
        </w:rPr>
        <w:t>estimate</w:t>
      </w:r>
      <w:r>
        <w:rPr>
          <w:rFonts w:ascii="Arial" w:hAnsi="Arial" w:cs="Arial"/>
        </w:rPr>
        <w:t xml:space="preserve"> stated in this press release have been reviewed and approved by Mr. David Alan Thompson (ECSA No. 201190010), Principal Mining Engineer for DRA Projects (Pty) Ltd, who is an independent Qualified Person as defined by National Instrument 43-101. Mr. D Thompson was responsible for the mineral reserve estimate of the RVP Feasibility Study that supports this press release. Mr. D Thompson confirmed that he has reviewed the information in this press release as it relates to the mineral reserve estimate.</w:t>
      </w:r>
    </w:p>
    <w:p w14:paraId="13FFBCC9" w14:textId="77777777" w:rsidR="00232C26" w:rsidRDefault="00232C26" w:rsidP="00EE3788">
      <w:pPr>
        <w:jc w:val="both"/>
        <w:rPr>
          <w:rFonts w:ascii="Arial" w:hAnsi="Arial" w:cs="Arial"/>
        </w:rPr>
      </w:pPr>
    </w:p>
    <w:p w14:paraId="54FA320D" w14:textId="6CD925C3" w:rsidR="00232C26" w:rsidRDefault="00232C26" w:rsidP="00EE3788">
      <w:pPr>
        <w:jc w:val="both"/>
        <w:rPr>
          <w:rFonts w:ascii="Arial" w:hAnsi="Arial" w:cs="Arial"/>
        </w:rPr>
      </w:pPr>
      <w:r w:rsidRPr="00534327">
        <w:rPr>
          <w:rFonts w:ascii="Arial" w:hAnsi="Arial" w:cs="Arial"/>
        </w:rPr>
        <w:t xml:space="preserve">The mineral resources </w:t>
      </w:r>
      <w:r w:rsidR="005837D0">
        <w:rPr>
          <w:rFonts w:ascii="Arial" w:hAnsi="Arial" w:cs="Arial"/>
        </w:rPr>
        <w:t xml:space="preserve">estimate </w:t>
      </w:r>
      <w:r w:rsidRPr="00534327">
        <w:rPr>
          <w:rFonts w:ascii="Arial" w:hAnsi="Arial" w:cs="Arial"/>
        </w:rPr>
        <w:t>stated in this press release have been reviewed and approved by Mr. Sivanesan (Desmond) Subramani (</w:t>
      </w:r>
      <w:proofErr w:type="spellStart"/>
      <w:r w:rsidRPr="00534327">
        <w:rPr>
          <w:rFonts w:ascii="Arial" w:hAnsi="Arial" w:cs="Arial"/>
        </w:rPr>
        <w:t>Pri</w:t>
      </w:r>
      <w:proofErr w:type="spellEnd"/>
      <w:r w:rsidRPr="00534327">
        <w:rPr>
          <w:rFonts w:ascii="Arial" w:hAnsi="Arial" w:cs="Arial"/>
        </w:rPr>
        <w:t xml:space="preserve">. Sci. Nat - 400184/06), Principal for Mineral Resources at Caracle Creek International Consultants, who is an independent </w:t>
      </w:r>
      <w:r w:rsidR="004C5C47" w:rsidRPr="00534327">
        <w:rPr>
          <w:rFonts w:ascii="Arial" w:hAnsi="Arial" w:cs="Arial"/>
        </w:rPr>
        <w:t xml:space="preserve">qualified person </w:t>
      </w:r>
      <w:r w:rsidRPr="00534327">
        <w:rPr>
          <w:rFonts w:ascii="Arial" w:hAnsi="Arial" w:cs="Arial"/>
        </w:rPr>
        <w:t xml:space="preserve">as defined by </w:t>
      </w:r>
      <w:r w:rsidR="000A229E">
        <w:rPr>
          <w:rFonts w:ascii="Arial" w:hAnsi="Arial" w:cs="Arial"/>
        </w:rPr>
        <w:t>NI 43-101</w:t>
      </w:r>
      <w:r w:rsidRPr="00534327">
        <w:rPr>
          <w:rFonts w:ascii="Arial" w:hAnsi="Arial" w:cs="Arial"/>
        </w:rPr>
        <w:t xml:space="preserve">. Mr. D Subramani was responsible for the mineral resource estimate of the </w:t>
      </w:r>
      <w:r w:rsidR="000A229E">
        <w:rPr>
          <w:rFonts w:ascii="Arial" w:hAnsi="Arial" w:cs="Arial"/>
        </w:rPr>
        <w:t>DFS</w:t>
      </w:r>
      <w:r w:rsidRPr="00534327">
        <w:rPr>
          <w:rFonts w:ascii="Arial" w:hAnsi="Arial" w:cs="Arial"/>
        </w:rPr>
        <w:t xml:space="preserve">. Mr. D Subramani confirmed that he has reviewed </w:t>
      </w:r>
      <w:r w:rsidR="000A229E">
        <w:rPr>
          <w:rFonts w:ascii="Arial" w:hAnsi="Arial" w:cs="Arial"/>
        </w:rPr>
        <w:t xml:space="preserve">and approved </w:t>
      </w:r>
      <w:r w:rsidRPr="00534327">
        <w:rPr>
          <w:rFonts w:ascii="Arial" w:hAnsi="Arial" w:cs="Arial"/>
        </w:rPr>
        <w:t>the information in this press release as it relates to the mineral resource estimate.</w:t>
      </w:r>
    </w:p>
    <w:p w14:paraId="0CD4A5BB" w14:textId="5D58931D" w:rsidR="00F91A3D" w:rsidRDefault="00F91A3D" w:rsidP="00EE3788">
      <w:pPr>
        <w:jc w:val="both"/>
        <w:rPr>
          <w:rFonts w:ascii="Arial" w:hAnsi="Arial" w:cs="Arial"/>
        </w:rPr>
      </w:pPr>
    </w:p>
    <w:p w14:paraId="647A2A59" w14:textId="7DFDA31F" w:rsidR="0048398A" w:rsidRDefault="00F91A3D" w:rsidP="005837D0">
      <w:pPr>
        <w:jc w:val="both"/>
        <w:rPr>
          <w:rFonts w:ascii="Arial" w:hAnsi="Arial" w:cs="Arial"/>
          <w:b/>
        </w:rPr>
      </w:pPr>
      <w:r>
        <w:rPr>
          <w:rFonts w:ascii="Arial" w:hAnsi="Arial" w:cs="Arial"/>
        </w:rPr>
        <w:t xml:space="preserve">Mr. Randy Ruff, P. Geo., an employee of Euro Sun and a qualified person as defined by NI 43-101 has reviewed and approved the technical information in this press release </w:t>
      </w:r>
      <w:r w:rsidR="005837D0">
        <w:rPr>
          <w:rFonts w:ascii="Arial" w:hAnsi="Arial" w:cs="Arial"/>
        </w:rPr>
        <w:t xml:space="preserve">other than the </w:t>
      </w:r>
      <w:r>
        <w:rPr>
          <w:rFonts w:ascii="Arial" w:hAnsi="Arial" w:cs="Arial"/>
        </w:rPr>
        <w:t xml:space="preserve">mineral resource estimates and the mineral reserve estimates. </w:t>
      </w:r>
      <w:bookmarkEnd w:id="0"/>
    </w:p>
    <w:p w14:paraId="474112FE" w14:textId="77777777" w:rsidR="0048398A" w:rsidRDefault="0048398A" w:rsidP="00442115">
      <w:pPr>
        <w:rPr>
          <w:rFonts w:ascii="Arial" w:hAnsi="Arial" w:cs="Arial"/>
          <w:b/>
        </w:rPr>
      </w:pPr>
    </w:p>
    <w:p w14:paraId="2B8B6041" w14:textId="3D46919C" w:rsidR="007009CD" w:rsidRPr="00442115" w:rsidRDefault="007009CD" w:rsidP="00442115">
      <w:pPr>
        <w:rPr>
          <w:rFonts w:ascii="Arial" w:hAnsi="Arial" w:cs="Arial"/>
          <w:bCs/>
        </w:rPr>
      </w:pPr>
      <w:r w:rsidRPr="005161AE">
        <w:rPr>
          <w:rFonts w:ascii="Arial" w:hAnsi="Arial" w:cs="Arial"/>
          <w:b/>
        </w:rPr>
        <w:lastRenderedPageBreak/>
        <w:t>About Euro Sun Mining Inc.</w:t>
      </w:r>
    </w:p>
    <w:p w14:paraId="1CF876B5" w14:textId="77777777" w:rsidR="007009CD" w:rsidRPr="005161AE" w:rsidRDefault="007009CD" w:rsidP="007009CD">
      <w:pPr>
        <w:autoSpaceDE w:val="0"/>
        <w:autoSpaceDN w:val="0"/>
        <w:adjustRightInd w:val="0"/>
        <w:rPr>
          <w:rFonts w:ascii="Arial" w:hAnsi="Arial" w:cs="Arial"/>
          <w:b/>
        </w:rPr>
      </w:pPr>
    </w:p>
    <w:p w14:paraId="02EEB01C" w14:textId="77777777" w:rsidR="007009CD" w:rsidRDefault="007009CD" w:rsidP="007009CD">
      <w:pPr>
        <w:autoSpaceDE w:val="0"/>
        <w:autoSpaceDN w:val="0"/>
        <w:adjustRightInd w:val="0"/>
        <w:rPr>
          <w:rFonts w:ascii="Arial" w:hAnsi="Arial" w:cs="Arial"/>
          <w:bCs/>
        </w:rPr>
      </w:pPr>
      <w:r w:rsidRPr="005161AE">
        <w:rPr>
          <w:rFonts w:ascii="Arial" w:hAnsi="Arial" w:cs="Arial"/>
          <w:bCs/>
        </w:rPr>
        <w:t>Euro Sun is a Toronto Stock Exchange listed mining company focused on the exploration and development of its 100%-owned Rovina Valley gold and copper project located in west-central Romania, which hosts the second largest gold deposit in Europe.</w:t>
      </w:r>
    </w:p>
    <w:p w14:paraId="19E6D80C" w14:textId="77777777" w:rsidR="007009CD" w:rsidRPr="00BD03AF" w:rsidRDefault="007009CD" w:rsidP="007009CD">
      <w:pPr>
        <w:autoSpaceDE w:val="0"/>
        <w:autoSpaceDN w:val="0"/>
        <w:adjustRightInd w:val="0"/>
        <w:rPr>
          <w:rFonts w:ascii="Arial" w:hAnsi="Arial" w:cs="Arial"/>
          <w:bCs/>
        </w:rPr>
      </w:pPr>
    </w:p>
    <w:p w14:paraId="47FB0ED7" w14:textId="3B6EC483" w:rsidR="007009CD" w:rsidRDefault="007009CD" w:rsidP="007009CD">
      <w:pPr>
        <w:jc w:val="both"/>
        <w:rPr>
          <w:rFonts w:ascii="Arial" w:hAnsi="Arial" w:cs="Arial"/>
        </w:rPr>
      </w:pPr>
      <w:r w:rsidRPr="005161AE">
        <w:rPr>
          <w:rFonts w:ascii="Arial" w:hAnsi="Arial" w:cs="Arial"/>
        </w:rPr>
        <w:t xml:space="preserve">For further information about Euro Sun Mining, or the contents of this press release, please contact Investor Relations at </w:t>
      </w:r>
      <w:hyperlink r:id="rId9" w:history="1">
        <w:r w:rsidRPr="005161AE">
          <w:rPr>
            <w:rStyle w:val="Hyperlink"/>
            <w:rFonts w:ascii="Arial" w:hAnsi="Arial" w:cs="Arial"/>
          </w:rPr>
          <w:t>info@eurosunmining.com</w:t>
        </w:r>
      </w:hyperlink>
      <w:r w:rsidRPr="005161AE">
        <w:rPr>
          <w:rFonts w:ascii="Arial" w:hAnsi="Arial" w:cs="Arial"/>
        </w:rPr>
        <w:t xml:space="preserve"> </w:t>
      </w:r>
    </w:p>
    <w:p w14:paraId="05752DB8" w14:textId="77777777" w:rsidR="007009CD" w:rsidRPr="005161AE" w:rsidRDefault="007009CD" w:rsidP="007009CD">
      <w:pPr>
        <w:jc w:val="both"/>
        <w:rPr>
          <w:rFonts w:ascii="Arial" w:hAnsi="Arial" w:cs="Arial"/>
        </w:rPr>
      </w:pPr>
    </w:p>
    <w:p w14:paraId="35530CFE" w14:textId="77777777" w:rsidR="001427E6" w:rsidRPr="001427E6" w:rsidRDefault="001427E6" w:rsidP="001427E6">
      <w:pPr>
        <w:jc w:val="both"/>
        <w:rPr>
          <w:rFonts w:ascii="Arial" w:hAnsi="Arial" w:cs="Arial"/>
          <w:b/>
          <w:sz w:val="20"/>
          <w:szCs w:val="20"/>
        </w:rPr>
      </w:pPr>
      <w:r w:rsidRPr="001427E6">
        <w:rPr>
          <w:rFonts w:ascii="Arial" w:hAnsi="Arial" w:cs="Arial"/>
          <w:b/>
          <w:sz w:val="20"/>
          <w:szCs w:val="20"/>
        </w:rPr>
        <w:t>Caution regarding forward-looking information:</w:t>
      </w:r>
    </w:p>
    <w:p w14:paraId="7A6BD129" w14:textId="055F6E01" w:rsidR="00195FAC" w:rsidRPr="0089484E" w:rsidRDefault="00195FAC" w:rsidP="00195FAC">
      <w:pPr>
        <w:jc w:val="both"/>
        <w:rPr>
          <w:rFonts w:ascii="Arial" w:hAnsi="Arial" w:cs="Arial"/>
        </w:rPr>
      </w:pPr>
      <w:r w:rsidRPr="0089484E">
        <w:rPr>
          <w:rFonts w:ascii="Arial" w:hAnsi="Arial" w:cs="Arial"/>
        </w:rPr>
        <w:t xml:space="preserve">This press release contains statements which constitute “forward-looking information” within the meaning of applicable securities laws, including statements regarding the plans, intentions, </w:t>
      </w:r>
      <w:proofErr w:type="gramStart"/>
      <w:r w:rsidRPr="0089484E">
        <w:rPr>
          <w:rFonts w:ascii="Arial" w:hAnsi="Arial" w:cs="Arial"/>
        </w:rPr>
        <w:t>beliefs</w:t>
      </w:r>
      <w:proofErr w:type="gramEnd"/>
      <w:r w:rsidRPr="0089484E">
        <w:rPr>
          <w:rFonts w:ascii="Arial" w:hAnsi="Arial" w:cs="Arial"/>
        </w:rPr>
        <w:t xml:space="preserve"> and current expectations of </w:t>
      </w:r>
      <w:r>
        <w:rPr>
          <w:rFonts w:ascii="Arial" w:hAnsi="Arial" w:cs="Arial"/>
        </w:rPr>
        <w:t>the Company</w:t>
      </w:r>
      <w:r w:rsidRPr="0089484E">
        <w:rPr>
          <w:rFonts w:ascii="Arial" w:hAnsi="Arial" w:cs="Arial"/>
        </w:rPr>
        <w:t xml:space="preserve"> with respect to future business activities and operating performance. Forward-looking information is often identified by the words “may”, “would”, “could”, “should”, “will”, “intend”, “plan”, “anticipate”, “believe”, “estimate”, “expect” or similar expressions and includes information regarding </w:t>
      </w:r>
      <w:r>
        <w:rPr>
          <w:rFonts w:ascii="Arial" w:hAnsi="Arial" w:cs="Arial"/>
        </w:rPr>
        <w:t>the Company’s</w:t>
      </w:r>
      <w:r w:rsidRPr="0089484E">
        <w:rPr>
          <w:rFonts w:ascii="Arial" w:hAnsi="Arial" w:cs="Arial"/>
        </w:rPr>
        <w:t xml:space="preserve"> estimates, expectations, forecasts and guidance for production,</w:t>
      </w:r>
      <w:r w:rsidR="004C5C47">
        <w:rPr>
          <w:rFonts w:ascii="Arial" w:hAnsi="Arial" w:cs="Arial"/>
        </w:rPr>
        <w:t xml:space="preserve"> waste material,</w:t>
      </w:r>
      <w:r w:rsidRPr="0089484E">
        <w:rPr>
          <w:rFonts w:ascii="Arial" w:hAnsi="Arial" w:cs="Arial"/>
        </w:rPr>
        <w:t xml:space="preserve"> all-in sustaining cost, capital expenditures, cost savings, project economics (including </w:t>
      </w:r>
      <w:r w:rsidR="004C5C47">
        <w:rPr>
          <w:rFonts w:ascii="Arial" w:hAnsi="Arial" w:cs="Arial"/>
        </w:rPr>
        <w:t xml:space="preserve">pre-tax </w:t>
      </w:r>
      <w:r w:rsidRPr="0089484E">
        <w:rPr>
          <w:rFonts w:ascii="Arial" w:hAnsi="Arial" w:cs="Arial"/>
        </w:rPr>
        <w:t>net present value</w:t>
      </w:r>
      <w:r w:rsidR="004C5C47">
        <w:rPr>
          <w:rFonts w:ascii="Arial" w:hAnsi="Arial" w:cs="Arial"/>
        </w:rPr>
        <w:t xml:space="preserve"> and after tax cashflows</w:t>
      </w:r>
      <w:r w:rsidRPr="0089484E">
        <w:rPr>
          <w:rFonts w:ascii="Arial" w:hAnsi="Arial" w:cs="Arial"/>
        </w:rPr>
        <w:t xml:space="preserve">) and other information contained in the </w:t>
      </w:r>
      <w:r w:rsidR="00247330">
        <w:rPr>
          <w:rFonts w:ascii="Arial" w:hAnsi="Arial" w:cs="Arial"/>
        </w:rPr>
        <w:t>updated DFS</w:t>
      </w:r>
      <w:r w:rsidRPr="0089484E">
        <w:rPr>
          <w:rFonts w:ascii="Arial" w:hAnsi="Arial" w:cs="Arial"/>
        </w:rPr>
        <w:t>; as well as references to other possible events, the future price of gold</w:t>
      </w:r>
      <w:r>
        <w:rPr>
          <w:rFonts w:ascii="Arial" w:hAnsi="Arial" w:cs="Arial"/>
        </w:rPr>
        <w:t xml:space="preserve"> and copper</w:t>
      </w:r>
      <w:r w:rsidRPr="0089484E">
        <w:rPr>
          <w:rFonts w:ascii="Arial" w:hAnsi="Arial" w:cs="Arial"/>
        </w:rPr>
        <w:t>, the estimation of mineral reserves and mineral resources, the realization of mineral reserve and mineral resource estimates, the timing and amount of estimated future production, costs of production, capital expenditures, costs and timing of the development of the project and mining and processing activities, requirements for additional capital, government regulation of mining operations, environmental risks</w:t>
      </w:r>
      <w:r w:rsidR="00247330">
        <w:rPr>
          <w:rFonts w:ascii="Arial" w:hAnsi="Arial" w:cs="Arial"/>
        </w:rPr>
        <w:t xml:space="preserve"> and the anticipated timing for the filing of the updated DFS as a NI 43-101 compliant technical report</w:t>
      </w:r>
      <w:r w:rsidRPr="0089484E">
        <w:rPr>
          <w:rFonts w:ascii="Arial" w:hAnsi="Arial" w:cs="Arial"/>
        </w:rPr>
        <w:t>.</w:t>
      </w:r>
    </w:p>
    <w:p w14:paraId="15440882" w14:textId="77777777" w:rsidR="00195FAC" w:rsidRPr="0089484E" w:rsidRDefault="00195FAC" w:rsidP="00195FAC">
      <w:pPr>
        <w:jc w:val="both"/>
        <w:rPr>
          <w:rFonts w:ascii="Arial" w:hAnsi="Arial" w:cs="Arial"/>
        </w:rPr>
      </w:pPr>
    </w:p>
    <w:p w14:paraId="6E072B61" w14:textId="73E36F41" w:rsidR="00195FAC" w:rsidRPr="0089484E" w:rsidRDefault="00195FAC" w:rsidP="00195FAC">
      <w:pPr>
        <w:jc w:val="both"/>
        <w:rPr>
          <w:rFonts w:ascii="Arial" w:hAnsi="Arial" w:cs="Arial"/>
        </w:rPr>
      </w:pPr>
      <w:r w:rsidRPr="0089484E">
        <w:rPr>
          <w:rFonts w:ascii="Arial" w:hAnsi="Arial" w:cs="Arial"/>
        </w:rPr>
        <w:t xml:space="preserve">Investors are cautioned that forward-looking information is not based on historical facts but instead reflect management’s expectations, estimates or projections concerning future results or events based on the opinions, assumptions and estimates of management considered reasonable at the date the statements are made. Although </w:t>
      </w:r>
      <w:r>
        <w:rPr>
          <w:rFonts w:ascii="Arial" w:hAnsi="Arial" w:cs="Arial"/>
        </w:rPr>
        <w:t>the Company</w:t>
      </w:r>
      <w:r w:rsidRPr="0089484E">
        <w:rPr>
          <w:rFonts w:ascii="Arial" w:hAnsi="Arial" w:cs="Arial"/>
        </w:rPr>
        <w:t xml:space="preserve"> believes that the expectations reflected in such forward-looking information are reasonable, such information involves risks and uncertainties, and undue reliance should not be placed on such information, as unknown or unpredictable factors could have material adverse effects on future results, </w:t>
      </w:r>
      <w:proofErr w:type="gramStart"/>
      <w:r w:rsidRPr="0089484E">
        <w:rPr>
          <w:rFonts w:ascii="Arial" w:hAnsi="Arial" w:cs="Arial"/>
        </w:rPr>
        <w:t>performance</w:t>
      </w:r>
      <w:proofErr w:type="gramEnd"/>
      <w:r w:rsidRPr="0089484E">
        <w:rPr>
          <w:rFonts w:ascii="Arial" w:hAnsi="Arial" w:cs="Arial"/>
        </w:rPr>
        <w:t xml:space="preserve"> or achievements of the </w:t>
      </w:r>
      <w:r>
        <w:rPr>
          <w:rFonts w:ascii="Arial" w:hAnsi="Arial" w:cs="Arial"/>
        </w:rPr>
        <w:t>C</w:t>
      </w:r>
      <w:r w:rsidRPr="0089484E">
        <w:rPr>
          <w:rFonts w:ascii="Arial" w:hAnsi="Arial" w:cs="Arial"/>
        </w:rPr>
        <w:t xml:space="preserve">ompany. This forward-looking information may be affected by risks and uncertainties in the combined business of </w:t>
      </w:r>
      <w:r>
        <w:rPr>
          <w:rFonts w:ascii="Arial" w:hAnsi="Arial" w:cs="Arial"/>
        </w:rPr>
        <w:t>the Company</w:t>
      </w:r>
      <w:r w:rsidRPr="0089484E">
        <w:rPr>
          <w:rFonts w:ascii="Arial" w:hAnsi="Arial" w:cs="Arial"/>
        </w:rPr>
        <w:t xml:space="preserve"> and market conditions, including (1) there being no significant disruptions affecting </w:t>
      </w:r>
      <w:r>
        <w:rPr>
          <w:rFonts w:ascii="Arial" w:hAnsi="Arial" w:cs="Arial"/>
        </w:rPr>
        <w:t>the Company’s</w:t>
      </w:r>
      <w:r w:rsidRPr="0089484E">
        <w:rPr>
          <w:rFonts w:ascii="Arial" w:hAnsi="Arial" w:cs="Arial"/>
        </w:rPr>
        <w:t xml:space="preserve"> operations whether due to extreme weather events and other or related natural disasters, labor disruptions, supply disruptions, power disruptions, damage to equipment or otherwise; (2) permitting, development, operations and production for the </w:t>
      </w:r>
      <w:r>
        <w:rPr>
          <w:rFonts w:ascii="Arial" w:hAnsi="Arial" w:cs="Arial"/>
        </w:rPr>
        <w:t>Rovina Valley</w:t>
      </w:r>
      <w:r w:rsidRPr="0089484E">
        <w:rPr>
          <w:rFonts w:ascii="Arial" w:hAnsi="Arial" w:cs="Arial"/>
        </w:rPr>
        <w:t xml:space="preserve"> Project</w:t>
      </w:r>
      <w:r>
        <w:rPr>
          <w:rFonts w:ascii="Arial" w:hAnsi="Arial" w:cs="Arial"/>
        </w:rPr>
        <w:t xml:space="preserve"> </w:t>
      </w:r>
      <w:r w:rsidRPr="0089484E">
        <w:rPr>
          <w:rFonts w:ascii="Arial" w:hAnsi="Arial" w:cs="Arial"/>
        </w:rPr>
        <w:t xml:space="preserve">being consistent with </w:t>
      </w:r>
      <w:r>
        <w:rPr>
          <w:rFonts w:ascii="Arial" w:hAnsi="Arial" w:cs="Arial"/>
        </w:rPr>
        <w:t>the Company’s</w:t>
      </w:r>
      <w:r w:rsidRPr="0089484E">
        <w:rPr>
          <w:rFonts w:ascii="Arial" w:hAnsi="Arial" w:cs="Arial"/>
        </w:rPr>
        <w:t xml:space="preserve"> expectations; (3) political and legal developments </w:t>
      </w:r>
      <w:r>
        <w:rPr>
          <w:rFonts w:ascii="Arial" w:hAnsi="Arial" w:cs="Arial"/>
        </w:rPr>
        <w:t>Romania</w:t>
      </w:r>
      <w:r w:rsidRPr="0089484E">
        <w:rPr>
          <w:rFonts w:ascii="Arial" w:hAnsi="Arial" w:cs="Arial"/>
        </w:rPr>
        <w:t xml:space="preserve"> being consistent with current expectations; (4) certain price assumptions for gold</w:t>
      </w:r>
      <w:r>
        <w:rPr>
          <w:rFonts w:ascii="Arial" w:hAnsi="Arial" w:cs="Arial"/>
        </w:rPr>
        <w:t xml:space="preserve"> and copper</w:t>
      </w:r>
      <w:r w:rsidRPr="0089484E">
        <w:rPr>
          <w:rFonts w:ascii="Arial" w:hAnsi="Arial" w:cs="Arial"/>
        </w:rPr>
        <w:t xml:space="preserve">; (5) prices for diesel, electricity and other key supplies being approximately consistent with current levels; (6) the accuracy of </w:t>
      </w:r>
      <w:r>
        <w:rPr>
          <w:rFonts w:ascii="Arial" w:hAnsi="Arial" w:cs="Arial"/>
        </w:rPr>
        <w:t>the Company’s</w:t>
      </w:r>
      <w:r w:rsidRPr="0089484E">
        <w:rPr>
          <w:rFonts w:ascii="Arial" w:hAnsi="Arial" w:cs="Arial"/>
        </w:rPr>
        <w:t xml:space="preserve"> mineral reserve and mineral resource estimates; and (7) labor and materials costs increasing on a basis consistent with </w:t>
      </w:r>
      <w:r>
        <w:rPr>
          <w:rFonts w:ascii="Arial" w:hAnsi="Arial" w:cs="Arial"/>
        </w:rPr>
        <w:t>the Company’s</w:t>
      </w:r>
      <w:r w:rsidRPr="0089484E">
        <w:rPr>
          <w:rFonts w:ascii="Arial" w:hAnsi="Arial" w:cs="Arial"/>
        </w:rPr>
        <w:t xml:space="preserve"> current expectations. </w:t>
      </w:r>
      <w:r w:rsidRPr="00611A3F">
        <w:rPr>
          <w:rFonts w:ascii="Arial" w:hAnsi="Arial" w:cs="Arial"/>
        </w:rPr>
        <w:t xml:space="preserve">This information is qualified in its entirety by cautionary statements and risk factor disclosure contained in filings made by the Company with the Canadian securities regulators, including the Company’s annual information form, financial statements and related MD&amp;A for the financial year ended December 31, </w:t>
      </w:r>
      <w:proofErr w:type="gramStart"/>
      <w:r w:rsidRPr="00611A3F">
        <w:rPr>
          <w:rFonts w:ascii="Arial" w:hAnsi="Arial" w:cs="Arial"/>
        </w:rPr>
        <w:t>20</w:t>
      </w:r>
      <w:r w:rsidR="003927FB" w:rsidRPr="00611A3F">
        <w:rPr>
          <w:rFonts w:ascii="Arial" w:hAnsi="Arial" w:cs="Arial"/>
        </w:rPr>
        <w:t>20</w:t>
      </w:r>
      <w:proofErr w:type="gramEnd"/>
      <w:r w:rsidRPr="0089484E">
        <w:rPr>
          <w:rFonts w:ascii="Arial" w:hAnsi="Arial" w:cs="Arial"/>
        </w:rPr>
        <w:t xml:space="preserve"> filed with the securities regulatory authorities in certain provinces of Canada and available at www.sedar.com.</w:t>
      </w:r>
    </w:p>
    <w:p w14:paraId="2418255F" w14:textId="77777777" w:rsidR="00195FAC" w:rsidRPr="0089484E" w:rsidRDefault="00195FAC" w:rsidP="00195FAC">
      <w:pPr>
        <w:jc w:val="both"/>
        <w:rPr>
          <w:rFonts w:ascii="Arial" w:hAnsi="Arial" w:cs="Arial"/>
        </w:rPr>
      </w:pPr>
    </w:p>
    <w:p w14:paraId="4D5E6E2D" w14:textId="7142FBAB" w:rsidR="00195FAC" w:rsidRPr="005161AE" w:rsidRDefault="00195FAC" w:rsidP="00195FAC">
      <w:pPr>
        <w:jc w:val="both"/>
        <w:rPr>
          <w:rFonts w:ascii="Arial" w:hAnsi="Arial" w:cs="Arial"/>
        </w:rPr>
      </w:pPr>
      <w:r w:rsidRPr="0089484E">
        <w:rPr>
          <w:rFonts w:ascii="Arial" w:hAnsi="Arial" w:cs="Arial"/>
        </w:rPr>
        <w:lastRenderedPageBreak/>
        <w:t xml:space="preserve">Should one or more of these risks or uncertainties materialize, or should assumptions underlying the </w:t>
      </w:r>
      <w:r w:rsidR="008A53D3" w:rsidRPr="0089484E">
        <w:rPr>
          <w:rFonts w:ascii="Arial" w:hAnsi="Arial" w:cs="Arial"/>
        </w:rPr>
        <w:t>forward-looking</w:t>
      </w:r>
      <w:r w:rsidRPr="0089484E">
        <w:rPr>
          <w:rFonts w:ascii="Arial" w:hAnsi="Arial" w:cs="Arial"/>
        </w:rPr>
        <w:t xml:space="preserve"> information prove incorrect, actual results may vary materially from those described herein as intended, planned, anticipated, believed, </w:t>
      </w:r>
      <w:proofErr w:type="gramStart"/>
      <w:r w:rsidRPr="0089484E">
        <w:rPr>
          <w:rFonts w:ascii="Arial" w:hAnsi="Arial" w:cs="Arial"/>
        </w:rPr>
        <w:t>estimated</w:t>
      </w:r>
      <w:proofErr w:type="gramEnd"/>
      <w:r w:rsidRPr="0089484E">
        <w:rPr>
          <w:rFonts w:ascii="Arial" w:hAnsi="Arial" w:cs="Arial"/>
        </w:rPr>
        <w:t xml:space="preserve"> or expected. Although </w:t>
      </w:r>
      <w:r>
        <w:rPr>
          <w:rFonts w:ascii="Arial" w:hAnsi="Arial" w:cs="Arial"/>
        </w:rPr>
        <w:t>the Company</w:t>
      </w:r>
      <w:r w:rsidRPr="0089484E">
        <w:rPr>
          <w:rFonts w:ascii="Arial" w:hAnsi="Arial" w:cs="Arial"/>
        </w:rPr>
        <w:t xml:space="preserve"> has attempted to identify important risks, uncertainties and factors which could cause actual results to differ materially, there may be others that cause results not to be as anticipated, estimated or intended. </w:t>
      </w:r>
      <w:r>
        <w:rPr>
          <w:rFonts w:ascii="Arial" w:hAnsi="Arial" w:cs="Arial"/>
        </w:rPr>
        <w:t>The Company</w:t>
      </w:r>
      <w:r w:rsidRPr="0089484E">
        <w:rPr>
          <w:rFonts w:ascii="Arial" w:hAnsi="Arial" w:cs="Arial"/>
        </w:rPr>
        <w:t xml:space="preserve"> does not intend, and do not assume any obligation, to update this forward-looking information except as otherwise required by applicable law.</w:t>
      </w:r>
    </w:p>
    <w:p w14:paraId="3AB584D2" w14:textId="77777777" w:rsidR="00195FAC" w:rsidRDefault="00195FAC" w:rsidP="00195FAC">
      <w:pPr>
        <w:rPr>
          <w:rFonts w:ascii="Arial" w:hAnsi="Arial" w:cs="Arial"/>
          <w:bCs/>
          <w:color w:val="000000"/>
          <w:lang w:val="en-GB"/>
        </w:rPr>
      </w:pPr>
    </w:p>
    <w:p w14:paraId="606077CF" w14:textId="632CCB68" w:rsidR="00F8207A" w:rsidRDefault="00F8207A" w:rsidP="00F8207A">
      <w:pPr>
        <w:jc w:val="both"/>
        <w:rPr>
          <w:rFonts w:ascii="Arial" w:hAnsi="Arial" w:cs="Arial"/>
          <w:bCs/>
          <w:color w:val="000000"/>
          <w:lang w:val="en-GB"/>
        </w:rPr>
      </w:pPr>
      <w:r w:rsidRPr="003E4471">
        <w:rPr>
          <w:rFonts w:ascii="Arial" w:hAnsi="Arial" w:cs="Arial"/>
          <w:bCs/>
          <w:color w:val="000000"/>
          <w:lang w:val="en-GB"/>
        </w:rPr>
        <w:t xml:space="preserve">The Company has included certain non-GAAP financial measures </w:t>
      </w:r>
      <w:r w:rsidR="00847E30">
        <w:rPr>
          <w:rFonts w:ascii="Arial" w:hAnsi="Arial" w:cs="Arial"/>
          <w:bCs/>
          <w:color w:val="000000"/>
          <w:lang w:val="en-GB"/>
        </w:rPr>
        <w:t>i</w:t>
      </w:r>
      <w:r w:rsidRPr="003E4471">
        <w:rPr>
          <w:rFonts w:ascii="Arial" w:hAnsi="Arial" w:cs="Arial"/>
          <w:bCs/>
          <w:color w:val="000000"/>
          <w:lang w:val="en-GB"/>
        </w:rPr>
        <w:t xml:space="preserve">n this press release, </w:t>
      </w:r>
      <w:r>
        <w:rPr>
          <w:rFonts w:ascii="Arial" w:hAnsi="Arial" w:cs="Arial"/>
          <w:bCs/>
          <w:color w:val="000000"/>
          <w:lang w:val="en-GB"/>
        </w:rPr>
        <w:t>such as</w:t>
      </w:r>
      <w:r w:rsidRPr="003E4471">
        <w:rPr>
          <w:rFonts w:ascii="Arial" w:hAnsi="Arial" w:cs="Arial"/>
          <w:bCs/>
          <w:color w:val="000000"/>
          <w:lang w:val="en-GB"/>
        </w:rPr>
        <w:t xml:space="preserve"> all-in sustaining costs (“</w:t>
      </w:r>
      <w:r w:rsidRPr="003E4471">
        <w:rPr>
          <w:rFonts w:ascii="Arial" w:hAnsi="Arial" w:cs="Arial"/>
          <w:b/>
          <w:bCs/>
          <w:color w:val="000000"/>
          <w:lang w:val="en-GB"/>
        </w:rPr>
        <w:t>AISC</w:t>
      </w:r>
      <w:r>
        <w:rPr>
          <w:rFonts w:ascii="Arial" w:hAnsi="Arial" w:cs="Arial"/>
          <w:bCs/>
          <w:color w:val="000000"/>
          <w:lang w:val="en-GB"/>
        </w:rPr>
        <w:t xml:space="preserve">”) per </w:t>
      </w:r>
      <w:r w:rsidR="000A229E">
        <w:rPr>
          <w:rFonts w:ascii="Arial" w:hAnsi="Arial" w:cs="Arial"/>
          <w:bCs/>
          <w:color w:val="000000"/>
          <w:lang w:val="en-GB"/>
        </w:rPr>
        <w:t>gold equivalent ounce</w:t>
      </w:r>
      <w:r>
        <w:rPr>
          <w:rFonts w:ascii="Arial" w:hAnsi="Arial" w:cs="Arial"/>
          <w:bCs/>
          <w:color w:val="000000"/>
          <w:lang w:val="en-GB"/>
        </w:rPr>
        <w:t xml:space="preserve">, </w:t>
      </w:r>
      <w:r w:rsidRPr="003E4471">
        <w:rPr>
          <w:rFonts w:ascii="Arial" w:hAnsi="Arial" w:cs="Arial"/>
          <w:bCs/>
          <w:color w:val="000000"/>
          <w:lang w:val="en-GB"/>
        </w:rPr>
        <w:t>net present value (“</w:t>
      </w:r>
      <w:r w:rsidRPr="003E4471">
        <w:rPr>
          <w:rFonts w:ascii="Arial" w:hAnsi="Arial" w:cs="Arial"/>
          <w:b/>
          <w:bCs/>
          <w:color w:val="000000"/>
          <w:lang w:val="en-GB"/>
        </w:rPr>
        <w:t>NPV</w:t>
      </w:r>
      <w:r w:rsidRPr="003E4471">
        <w:rPr>
          <w:rFonts w:ascii="Arial" w:hAnsi="Arial" w:cs="Arial"/>
          <w:bCs/>
          <w:color w:val="000000"/>
          <w:lang w:val="en-GB"/>
        </w:rPr>
        <w:t>”). These non-GAAP financial measures do not have any standardi</w:t>
      </w:r>
      <w:r w:rsidR="00563660">
        <w:rPr>
          <w:rFonts w:ascii="Arial" w:hAnsi="Arial" w:cs="Arial"/>
          <w:bCs/>
          <w:color w:val="000000"/>
          <w:lang w:val="en-GB"/>
        </w:rPr>
        <w:t>z</w:t>
      </w:r>
      <w:r w:rsidRPr="003E4471">
        <w:rPr>
          <w:rFonts w:ascii="Arial" w:hAnsi="Arial" w:cs="Arial"/>
          <w:bCs/>
          <w:color w:val="000000"/>
          <w:lang w:val="en-GB"/>
        </w:rPr>
        <w:t xml:space="preserve">ed meaning.  Accordingly, these financial measures are intended </w:t>
      </w:r>
      <w:proofErr w:type="gramStart"/>
      <w:r w:rsidRPr="003E4471">
        <w:rPr>
          <w:rFonts w:ascii="Arial" w:hAnsi="Arial" w:cs="Arial"/>
          <w:bCs/>
          <w:color w:val="000000"/>
          <w:lang w:val="en-GB"/>
        </w:rPr>
        <w:t>to  provide</w:t>
      </w:r>
      <w:proofErr w:type="gramEnd"/>
      <w:r w:rsidRPr="003E4471">
        <w:rPr>
          <w:rFonts w:ascii="Arial" w:hAnsi="Arial" w:cs="Arial"/>
          <w:bCs/>
          <w:color w:val="000000"/>
          <w:lang w:val="en-GB"/>
        </w:rPr>
        <w:t xml:space="preserve">  additional  information  and  should  not  be  considered  in  isolation  or  as  a  substitute  for  measures  of  performance  prepared in accordance with International Financial Reporting Standards (“</w:t>
      </w:r>
      <w:r w:rsidRPr="003E4471">
        <w:rPr>
          <w:rFonts w:ascii="Arial" w:hAnsi="Arial" w:cs="Arial"/>
          <w:b/>
          <w:bCs/>
          <w:color w:val="000000"/>
          <w:lang w:val="en-GB"/>
        </w:rPr>
        <w:t>IFRS</w:t>
      </w:r>
      <w:r w:rsidRPr="003E4471">
        <w:rPr>
          <w:rFonts w:ascii="Arial" w:hAnsi="Arial" w:cs="Arial"/>
          <w:bCs/>
          <w:color w:val="000000"/>
          <w:lang w:val="en-GB"/>
        </w:rPr>
        <w:t>”).  AISC</w:t>
      </w:r>
      <w:r w:rsidR="004C5C47">
        <w:rPr>
          <w:rFonts w:ascii="Arial" w:hAnsi="Arial" w:cs="Arial"/>
          <w:bCs/>
          <w:color w:val="000000"/>
          <w:lang w:val="en-GB"/>
        </w:rPr>
        <w:t xml:space="preserve">, as defined by the World Gold </w:t>
      </w:r>
      <w:proofErr w:type="gramStart"/>
      <w:r w:rsidR="004C5C47">
        <w:rPr>
          <w:rFonts w:ascii="Arial" w:hAnsi="Arial" w:cs="Arial"/>
          <w:bCs/>
          <w:color w:val="000000"/>
          <w:lang w:val="en-GB"/>
        </w:rPr>
        <w:t>Council</w:t>
      </w:r>
      <w:r w:rsidRPr="003E4471">
        <w:rPr>
          <w:rFonts w:ascii="Arial" w:hAnsi="Arial" w:cs="Arial"/>
          <w:bCs/>
          <w:color w:val="000000"/>
          <w:lang w:val="en-GB"/>
        </w:rPr>
        <w:t xml:space="preserve">  </w:t>
      </w:r>
      <w:r>
        <w:rPr>
          <w:rFonts w:ascii="Arial" w:hAnsi="Arial" w:cs="Arial"/>
          <w:bCs/>
          <w:color w:val="000000"/>
          <w:lang w:val="en-GB"/>
        </w:rPr>
        <w:t>is</w:t>
      </w:r>
      <w:proofErr w:type="gramEnd"/>
      <w:r w:rsidRPr="003E4471">
        <w:rPr>
          <w:rFonts w:ascii="Arial" w:hAnsi="Arial" w:cs="Arial"/>
          <w:bCs/>
          <w:color w:val="000000"/>
          <w:lang w:val="en-GB"/>
        </w:rPr>
        <w:t xml:space="preserve">  a  common  financial  performance  measure  in  the  mining  industry  but  have  no </w:t>
      </w:r>
      <w:r>
        <w:rPr>
          <w:rFonts w:ascii="Arial" w:hAnsi="Arial" w:cs="Arial"/>
          <w:bCs/>
          <w:color w:val="000000"/>
          <w:lang w:val="en-GB"/>
        </w:rPr>
        <w:t xml:space="preserve"> standard definition under IFRS</w:t>
      </w:r>
      <w:r w:rsidRPr="003E4471">
        <w:rPr>
          <w:rFonts w:ascii="Arial" w:hAnsi="Arial" w:cs="Arial"/>
          <w:bCs/>
          <w:color w:val="000000"/>
          <w:lang w:val="en-GB"/>
        </w:rPr>
        <w:t xml:space="preserve">.   AISC include </w:t>
      </w:r>
      <w:proofErr w:type="gramStart"/>
      <w:r w:rsidRPr="003E4471">
        <w:rPr>
          <w:rFonts w:ascii="Arial" w:hAnsi="Arial" w:cs="Arial"/>
          <w:bCs/>
          <w:color w:val="000000"/>
          <w:lang w:val="en-GB"/>
        </w:rPr>
        <w:t>operating  cash</w:t>
      </w:r>
      <w:proofErr w:type="gramEnd"/>
      <w:r w:rsidRPr="003E4471">
        <w:rPr>
          <w:rFonts w:ascii="Arial" w:hAnsi="Arial" w:cs="Arial"/>
          <w:bCs/>
          <w:color w:val="000000"/>
          <w:lang w:val="en-GB"/>
        </w:rPr>
        <w:t xml:space="preserve">  costs,  net-smelter  royalty,  corporate  costs,  sustaining  capital  expenditure,  sustaining  exploration expenditure and capitalised stripping costs.   Other companies may calculate these measures differently and should not be considered in isolation or as a substitute for measures of performance pre</w:t>
      </w:r>
      <w:r>
        <w:rPr>
          <w:rFonts w:ascii="Arial" w:hAnsi="Arial" w:cs="Arial"/>
          <w:bCs/>
          <w:color w:val="000000"/>
          <w:lang w:val="en-GB"/>
        </w:rPr>
        <w:t xml:space="preserve">pared in accordance with IFRS. </w:t>
      </w:r>
    </w:p>
    <w:p w14:paraId="25C8EC3B" w14:textId="77777777" w:rsidR="00195FAC" w:rsidRDefault="00195FAC" w:rsidP="00195FAC">
      <w:pPr>
        <w:rPr>
          <w:rFonts w:ascii="Arial" w:hAnsi="Arial" w:cs="Arial"/>
          <w:bCs/>
          <w:color w:val="000000"/>
          <w:lang w:val="en-GB"/>
        </w:rPr>
      </w:pPr>
    </w:p>
    <w:p w14:paraId="281B5932" w14:textId="77777777" w:rsidR="00195FAC" w:rsidRDefault="00195FAC" w:rsidP="00195FAC">
      <w:pPr>
        <w:jc w:val="both"/>
        <w:rPr>
          <w:rFonts w:ascii="Arial" w:hAnsi="Arial" w:cs="Arial"/>
          <w:i/>
          <w:sz w:val="20"/>
          <w:szCs w:val="20"/>
        </w:rPr>
      </w:pPr>
    </w:p>
    <w:p w14:paraId="3C398AC3" w14:textId="4B382C76" w:rsidR="00195FAC" w:rsidRPr="001427E6" w:rsidRDefault="00195FAC" w:rsidP="00195FAC">
      <w:pPr>
        <w:jc w:val="both"/>
        <w:rPr>
          <w:rFonts w:ascii="Arial" w:hAnsi="Arial" w:cs="Arial"/>
          <w:iCs/>
          <w:sz w:val="20"/>
          <w:szCs w:val="20"/>
        </w:rPr>
      </w:pPr>
      <w:r w:rsidRPr="001427E6">
        <w:rPr>
          <w:rFonts w:ascii="Arial" w:hAnsi="Arial" w:cs="Arial"/>
          <w:i/>
          <w:sz w:val="20"/>
          <w:szCs w:val="20"/>
        </w:rPr>
        <w:t>The TSX does not accept responsibility for the adequacy or accuracy of this news release</w:t>
      </w:r>
      <w:r w:rsidR="00100B61">
        <w:rPr>
          <w:rFonts w:ascii="Arial" w:hAnsi="Arial" w:cs="Arial"/>
          <w:i/>
          <w:sz w:val="20"/>
          <w:szCs w:val="20"/>
        </w:rPr>
        <w:t>.</w:t>
      </w:r>
    </w:p>
    <w:p w14:paraId="068D2C24" w14:textId="77777777" w:rsidR="00195FAC" w:rsidRPr="000E5B42" w:rsidRDefault="00195FAC" w:rsidP="00195FAC">
      <w:pPr>
        <w:rPr>
          <w:rFonts w:ascii="Arial" w:hAnsi="Arial" w:cs="Arial"/>
          <w:b/>
          <w:bCs/>
          <w:color w:val="000000"/>
          <w:u w:val="single"/>
        </w:rPr>
      </w:pPr>
    </w:p>
    <w:p w14:paraId="528410BF" w14:textId="77777777" w:rsidR="001427E6" w:rsidRPr="001427E6" w:rsidRDefault="001427E6" w:rsidP="001427E6">
      <w:pPr>
        <w:jc w:val="both"/>
        <w:rPr>
          <w:rFonts w:ascii="Arial" w:hAnsi="Arial" w:cs="Arial"/>
        </w:rPr>
      </w:pPr>
    </w:p>
    <w:p w14:paraId="4D1F4DDE" w14:textId="77777777" w:rsidR="005F661E" w:rsidRPr="005161AE" w:rsidRDefault="005F661E" w:rsidP="005F661E">
      <w:pPr>
        <w:jc w:val="both"/>
        <w:rPr>
          <w:rFonts w:ascii="Arial" w:hAnsi="Arial" w:cs="Arial"/>
        </w:rPr>
      </w:pPr>
    </w:p>
    <w:p w14:paraId="4EF7B1C3" w14:textId="77777777" w:rsidR="00BD03AF" w:rsidRPr="005161AE" w:rsidRDefault="00BD03AF" w:rsidP="00193FA8">
      <w:pPr>
        <w:jc w:val="both"/>
        <w:rPr>
          <w:rFonts w:ascii="Arial" w:hAnsi="Arial" w:cs="Arial"/>
        </w:rPr>
      </w:pPr>
    </w:p>
    <w:p w14:paraId="43DDE5B3" w14:textId="7B05D33D" w:rsidR="006D2B5D" w:rsidRDefault="006D2B5D">
      <w:pPr>
        <w:rPr>
          <w:rFonts w:ascii="Arial" w:hAnsi="Arial" w:cs="Arial"/>
          <w:b/>
          <w:bCs/>
          <w:color w:val="000000"/>
          <w:u w:val="single"/>
          <w:lang w:val="en-GB"/>
        </w:rPr>
      </w:pPr>
    </w:p>
    <w:sectPr w:rsidR="006D2B5D" w:rsidSect="0045193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68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227EF" w14:textId="77777777" w:rsidR="00BA1D77" w:rsidRDefault="00BA1D77" w:rsidP="00805D46">
      <w:r>
        <w:separator/>
      </w:r>
    </w:p>
  </w:endnote>
  <w:endnote w:type="continuationSeparator" w:id="0">
    <w:p w14:paraId="3ADC1841" w14:textId="77777777" w:rsidR="00BA1D77" w:rsidRDefault="00BA1D77" w:rsidP="0080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C83C" w14:textId="77777777" w:rsidR="003C207C" w:rsidRDefault="003C207C">
    <w:pPr>
      <w:pStyle w:val="Footer"/>
    </w:pPr>
  </w:p>
  <w:p w14:paraId="7C12F43B" w14:textId="77777777" w:rsidR="002115B8" w:rsidRDefault="002115B8"/>
  <w:p w14:paraId="6D43F7A4" w14:textId="77777777" w:rsidR="002115B8" w:rsidRDefault="002115B8"/>
  <w:p w14:paraId="21E737D0" w14:textId="77777777" w:rsidR="002115B8" w:rsidRDefault="002115B8"/>
  <w:p w14:paraId="08995B86" w14:textId="77777777" w:rsidR="002115B8" w:rsidRDefault="002115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396145"/>
      <w:docPartObj>
        <w:docPartGallery w:val="Page Numbers (Bottom of Page)"/>
        <w:docPartUnique/>
      </w:docPartObj>
    </w:sdtPr>
    <w:sdtEndPr>
      <w:rPr>
        <w:noProof/>
      </w:rPr>
    </w:sdtEndPr>
    <w:sdtContent>
      <w:p w14:paraId="26B211E6" w14:textId="50D3D011" w:rsidR="00893FC6" w:rsidRDefault="00893FC6">
        <w:pPr>
          <w:pStyle w:val="Footer"/>
          <w:jc w:val="right"/>
        </w:pPr>
        <w:r>
          <w:fldChar w:fldCharType="begin"/>
        </w:r>
        <w:r>
          <w:instrText xml:space="preserve"> PAGE   \* MERGEFORMAT </w:instrText>
        </w:r>
        <w:r>
          <w:fldChar w:fldCharType="separate"/>
        </w:r>
        <w:r w:rsidR="005837D0">
          <w:rPr>
            <w:noProof/>
          </w:rPr>
          <w:t>7</w:t>
        </w:r>
        <w:r>
          <w:rPr>
            <w:noProof/>
          </w:rPr>
          <w:fldChar w:fldCharType="end"/>
        </w:r>
      </w:p>
    </w:sdtContent>
  </w:sdt>
  <w:p w14:paraId="50BAEE68" w14:textId="77777777" w:rsidR="00893FC6" w:rsidRDefault="00893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3E60" w14:textId="6B767B8D" w:rsidR="00805D46" w:rsidRDefault="00805D46">
    <w:pPr>
      <w:pStyle w:val="Footer"/>
      <w:jc w:val="right"/>
    </w:pPr>
    <w:r>
      <w:fldChar w:fldCharType="begin"/>
    </w:r>
    <w:r>
      <w:instrText xml:space="preserve"> PAGE   \* MERGEFORMAT </w:instrText>
    </w:r>
    <w:r>
      <w:fldChar w:fldCharType="separate"/>
    </w:r>
    <w:r w:rsidR="00D43C03">
      <w:rPr>
        <w:noProof/>
      </w:rPr>
      <w:t>8</w:t>
    </w:r>
    <w:r>
      <w:rPr>
        <w:noProof/>
      </w:rPr>
      <w:fldChar w:fldCharType="end"/>
    </w:r>
  </w:p>
  <w:p w14:paraId="32D9EA6D" w14:textId="77777777" w:rsidR="00805D46" w:rsidRDefault="00805D46">
    <w:pPr>
      <w:pStyle w:val="Footer"/>
    </w:pPr>
  </w:p>
  <w:p w14:paraId="1D7AE638" w14:textId="77777777" w:rsidR="002115B8" w:rsidRDefault="002115B8"/>
  <w:p w14:paraId="1129E740" w14:textId="77777777" w:rsidR="002115B8" w:rsidRDefault="002115B8"/>
  <w:p w14:paraId="16A4E277" w14:textId="77777777" w:rsidR="002115B8" w:rsidRDefault="002115B8"/>
  <w:p w14:paraId="3A4D6896" w14:textId="77777777" w:rsidR="002115B8" w:rsidRDefault="002115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34610" w14:textId="77777777" w:rsidR="00BA1D77" w:rsidRDefault="00BA1D77" w:rsidP="00805D46">
      <w:r>
        <w:separator/>
      </w:r>
    </w:p>
  </w:footnote>
  <w:footnote w:type="continuationSeparator" w:id="0">
    <w:p w14:paraId="6186F8BA" w14:textId="77777777" w:rsidR="00BA1D77" w:rsidRDefault="00BA1D77" w:rsidP="0080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FF7C" w14:textId="77777777" w:rsidR="003C207C" w:rsidRDefault="003C207C">
    <w:pPr>
      <w:pStyle w:val="Header"/>
    </w:pPr>
  </w:p>
  <w:p w14:paraId="48A96312" w14:textId="77777777" w:rsidR="002115B8" w:rsidRDefault="002115B8"/>
  <w:p w14:paraId="671E8C55" w14:textId="77777777" w:rsidR="002115B8" w:rsidRDefault="002115B8"/>
  <w:p w14:paraId="3783B465" w14:textId="77777777" w:rsidR="002115B8" w:rsidRDefault="002115B8"/>
  <w:p w14:paraId="78136A99" w14:textId="77777777" w:rsidR="002115B8" w:rsidRDefault="002115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8058" w14:textId="0C82B15D" w:rsidR="005A5ACD" w:rsidRPr="005A5ACD" w:rsidRDefault="00E66CA5" w:rsidP="005A5ACD">
    <w:pPr>
      <w:pStyle w:val="Header"/>
      <w:ind w:left="2520" w:firstLine="4680"/>
      <w:rPr>
        <w:b/>
        <w:bCs/>
        <w:sz w:val="28"/>
        <w:szCs w:val="28"/>
      </w:rPr>
    </w:pPr>
    <w:r>
      <w:rPr>
        <w:b/>
        <w:bCs/>
        <w:noProof/>
        <w:sz w:val="28"/>
        <w:szCs w:val="28"/>
        <w:lang w:eastAsia="en-CA"/>
      </w:rPr>
      <w:drawing>
        <wp:anchor distT="0" distB="0" distL="114300" distR="114300" simplePos="0" relativeHeight="251659264" behindDoc="1" locked="0" layoutInCell="1" allowOverlap="1" wp14:anchorId="47A67688" wp14:editId="18429C39">
          <wp:simplePos x="0" y="0"/>
          <wp:positionH relativeFrom="column">
            <wp:posOffset>-579755</wp:posOffset>
          </wp:positionH>
          <wp:positionV relativeFrom="paragraph">
            <wp:posOffset>-335915</wp:posOffset>
          </wp:positionV>
          <wp:extent cx="3400425" cy="798830"/>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t="20168" b="20943"/>
                  <a:stretch>
                    <a:fillRect/>
                  </a:stretch>
                </pic:blipFill>
                <pic:spPr bwMode="auto">
                  <a:xfrm>
                    <a:off x="0" y="0"/>
                    <a:ext cx="3400425" cy="798830"/>
                  </a:xfrm>
                  <a:prstGeom prst="rect">
                    <a:avLst/>
                  </a:prstGeom>
                  <a:noFill/>
                </pic:spPr>
              </pic:pic>
            </a:graphicData>
          </a:graphic>
          <wp14:sizeRelH relativeFrom="page">
            <wp14:pctWidth>0</wp14:pctWidth>
          </wp14:sizeRelH>
          <wp14:sizeRelV relativeFrom="page">
            <wp14:pctHeight>0</wp14:pctHeight>
          </wp14:sizeRelV>
        </wp:anchor>
      </w:drawing>
    </w:r>
    <w:r w:rsidR="005A5ACD" w:rsidRPr="005A5ACD">
      <w:rPr>
        <w:b/>
        <w:bCs/>
        <w:sz w:val="28"/>
        <w:szCs w:val="28"/>
      </w:rPr>
      <w:t>News Release</w:t>
    </w:r>
  </w:p>
  <w:p w14:paraId="74BF7486" w14:textId="77777777" w:rsidR="00805D46" w:rsidRDefault="00805D46">
    <w:pPr>
      <w:pStyle w:val="Header"/>
    </w:pPr>
  </w:p>
  <w:p w14:paraId="32355EEC" w14:textId="77777777" w:rsidR="002115B8" w:rsidRDefault="002115B8"/>
  <w:p w14:paraId="487CADB9" w14:textId="77777777" w:rsidR="002115B8" w:rsidRDefault="002115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3389" w14:textId="77777777" w:rsidR="003C207C" w:rsidRDefault="003C207C">
    <w:pPr>
      <w:pStyle w:val="Header"/>
    </w:pPr>
  </w:p>
  <w:p w14:paraId="19BE9F7D" w14:textId="77777777" w:rsidR="002115B8" w:rsidRDefault="002115B8"/>
  <w:p w14:paraId="1CF59C4F" w14:textId="77777777" w:rsidR="002115B8" w:rsidRDefault="002115B8"/>
  <w:p w14:paraId="307F3C20" w14:textId="77777777" w:rsidR="002115B8" w:rsidRDefault="002115B8"/>
  <w:p w14:paraId="1E2EA853" w14:textId="77777777" w:rsidR="002115B8" w:rsidRDefault="002115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4BBA"/>
    <w:multiLevelType w:val="hybridMultilevel"/>
    <w:tmpl w:val="D67282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442241"/>
    <w:multiLevelType w:val="hybridMultilevel"/>
    <w:tmpl w:val="879E2992"/>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2" w15:restartNumberingAfterBreak="0">
    <w:nsid w:val="189E1651"/>
    <w:multiLevelType w:val="hybridMultilevel"/>
    <w:tmpl w:val="A6546EA4"/>
    <w:lvl w:ilvl="0" w:tplc="A3C2D580">
      <w:start w:val="1"/>
      <w:numFmt w:val="bullet"/>
      <w:lvlText w:val="▪"/>
      <w:lvlJc w:val="left"/>
      <w:pPr>
        <w:ind w:left="720" w:hanging="360"/>
      </w:pPr>
      <w:rPr>
        <w:rFonts w:ascii="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1C496F"/>
    <w:multiLevelType w:val="hybridMultilevel"/>
    <w:tmpl w:val="EDDA5E2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F054985"/>
    <w:multiLevelType w:val="hybridMultilevel"/>
    <w:tmpl w:val="77A0D0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55683E"/>
    <w:multiLevelType w:val="hybridMultilevel"/>
    <w:tmpl w:val="CD804E5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15:restartNumberingAfterBreak="0">
    <w:nsid w:val="23292297"/>
    <w:multiLevelType w:val="hybridMultilevel"/>
    <w:tmpl w:val="73F0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96909"/>
    <w:multiLevelType w:val="hybridMultilevel"/>
    <w:tmpl w:val="DFF69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30142C64"/>
    <w:multiLevelType w:val="hybridMultilevel"/>
    <w:tmpl w:val="FCFCD7C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15:restartNumberingAfterBreak="0">
    <w:nsid w:val="30835842"/>
    <w:multiLevelType w:val="hybridMultilevel"/>
    <w:tmpl w:val="67CA3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83D32"/>
    <w:multiLevelType w:val="multilevel"/>
    <w:tmpl w:val="E026B5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F03E9D"/>
    <w:multiLevelType w:val="hybridMultilevel"/>
    <w:tmpl w:val="A328A8D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4C53436"/>
    <w:multiLevelType w:val="hybridMultilevel"/>
    <w:tmpl w:val="B91AB1F4"/>
    <w:lvl w:ilvl="0" w:tplc="06FC5FDA">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A965556"/>
    <w:multiLevelType w:val="hybridMultilevel"/>
    <w:tmpl w:val="2E4692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765378B"/>
    <w:multiLevelType w:val="multilevel"/>
    <w:tmpl w:val="0F00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27693B"/>
    <w:multiLevelType w:val="hybridMultilevel"/>
    <w:tmpl w:val="BA98E10A"/>
    <w:lvl w:ilvl="0" w:tplc="C23A9DAA">
      <w:start w:val="1"/>
      <w:numFmt w:val="bullet"/>
      <w:lvlText w:val="•"/>
      <w:lvlJc w:val="left"/>
      <w:pPr>
        <w:tabs>
          <w:tab w:val="num" w:pos="720"/>
        </w:tabs>
        <w:ind w:left="720" w:hanging="360"/>
      </w:pPr>
      <w:rPr>
        <w:rFonts w:ascii="Arial" w:hAnsi="Arial" w:hint="default"/>
      </w:rPr>
    </w:lvl>
    <w:lvl w:ilvl="1" w:tplc="18C0DFE2">
      <w:start w:val="1"/>
      <w:numFmt w:val="bullet"/>
      <w:lvlText w:val="•"/>
      <w:lvlJc w:val="left"/>
      <w:pPr>
        <w:tabs>
          <w:tab w:val="num" w:pos="1440"/>
        </w:tabs>
        <w:ind w:left="1440" w:hanging="360"/>
      </w:pPr>
      <w:rPr>
        <w:rFonts w:ascii="Arial" w:hAnsi="Arial" w:hint="default"/>
      </w:rPr>
    </w:lvl>
    <w:lvl w:ilvl="2" w:tplc="5AC6C49A" w:tentative="1">
      <w:start w:val="1"/>
      <w:numFmt w:val="bullet"/>
      <w:lvlText w:val="•"/>
      <w:lvlJc w:val="left"/>
      <w:pPr>
        <w:tabs>
          <w:tab w:val="num" w:pos="2160"/>
        </w:tabs>
        <w:ind w:left="2160" w:hanging="360"/>
      </w:pPr>
      <w:rPr>
        <w:rFonts w:ascii="Arial" w:hAnsi="Arial" w:hint="default"/>
      </w:rPr>
    </w:lvl>
    <w:lvl w:ilvl="3" w:tplc="DED634A0" w:tentative="1">
      <w:start w:val="1"/>
      <w:numFmt w:val="bullet"/>
      <w:lvlText w:val="•"/>
      <w:lvlJc w:val="left"/>
      <w:pPr>
        <w:tabs>
          <w:tab w:val="num" w:pos="2880"/>
        </w:tabs>
        <w:ind w:left="2880" w:hanging="360"/>
      </w:pPr>
      <w:rPr>
        <w:rFonts w:ascii="Arial" w:hAnsi="Arial" w:hint="default"/>
      </w:rPr>
    </w:lvl>
    <w:lvl w:ilvl="4" w:tplc="2A72A808" w:tentative="1">
      <w:start w:val="1"/>
      <w:numFmt w:val="bullet"/>
      <w:lvlText w:val="•"/>
      <w:lvlJc w:val="left"/>
      <w:pPr>
        <w:tabs>
          <w:tab w:val="num" w:pos="3600"/>
        </w:tabs>
        <w:ind w:left="3600" w:hanging="360"/>
      </w:pPr>
      <w:rPr>
        <w:rFonts w:ascii="Arial" w:hAnsi="Arial" w:hint="default"/>
      </w:rPr>
    </w:lvl>
    <w:lvl w:ilvl="5" w:tplc="E6CE2DC6" w:tentative="1">
      <w:start w:val="1"/>
      <w:numFmt w:val="bullet"/>
      <w:lvlText w:val="•"/>
      <w:lvlJc w:val="left"/>
      <w:pPr>
        <w:tabs>
          <w:tab w:val="num" w:pos="4320"/>
        </w:tabs>
        <w:ind w:left="4320" w:hanging="360"/>
      </w:pPr>
      <w:rPr>
        <w:rFonts w:ascii="Arial" w:hAnsi="Arial" w:hint="default"/>
      </w:rPr>
    </w:lvl>
    <w:lvl w:ilvl="6" w:tplc="828CB520" w:tentative="1">
      <w:start w:val="1"/>
      <w:numFmt w:val="bullet"/>
      <w:lvlText w:val="•"/>
      <w:lvlJc w:val="left"/>
      <w:pPr>
        <w:tabs>
          <w:tab w:val="num" w:pos="5040"/>
        </w:tabs>
        <w:ind w:left="5040" w:hanging="360"/>
      </w:pPr>
      <w:rPr>
        <w:rFonts w:ascii="Arial" w:hAnsi="Arial" w:hint="default"/>
      </w:rPr>
    </w:lvl>
    <w:lvl w:ilvl="7" w:tplc="43DCCE9E" w:tentative="1">
      <w:start w:val="1"/>
      <w:numFmt w:val="bullet"/>
      <w:lvlText w:val="•"/>
      <w:lvlJc w:val="left"/>
      <w:pPr>
        <w:tabs>
          <w:tab w:val="num" w:pos="5760"/>
        </w:tabs>
        <w:ind w:left="5760" w:hanging="360"/>
      </w:pPr>
      <w:rPr>
        <w:rFonts w:ascii="Arial" w:hAnsi="Arial" w:hint="default"/>
      </w:rPr>
    </w:lvl>
    <w:lvl w:ilvl="8" w:tplc="17EAC7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FD858DE"/>
    <w:multiLevelType w:val="hybridMultilevel"/>
    <w:tmpl w:val="F5182B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2C8086F"/>
    <w:multiLevelType w:val="hybridMultilevel"/>
    <w:tmpl w:val="70B2E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712743E"/>
    <w:multiLevelType w:val="hybridMultilevel"/>
    <w:tmpl w:val="422C1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6BC4FFD"/>
    <w:multiLevelType w:val="hybridMultilevel"/>
    <w:tmpl w:val="5074CF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DD36C0F"/>
    <w:multiLevelType w:val="hybridMultilevel"/>
    <w:tmpl w:val="BA665B48"/>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4"/>
  </w:num>
  <w:num w:numId="5">
    <w:abstractNumId w:val="7"/>
  </w:num>
  <w:num w:numId="6">
    <w:abstractNumId w:val="0"/>
  </w:num>
  <w:num w:numId="7">
    <w:abstractNumId w:val="8"/>
  </w:num>
  <w:num w:numId="8">
    <w:abstractNumId w:val="15"/>
  </w:num>
  <w:num w:numId="9">
    <w:abstractNumId w:val="13"/>
  </w:num>
  <w:num w:numId="10">
    <w:abstractNumId w:val="18"/>
  </w:num>
  <w:num w:numId="11">
    <w:abstractNumId w:val="19"/>
  </w:num>
  <w:num w:numId="12">
    <w:abstractNumId w:val="1"/>
  </w:num>
  <w:num w:numId="13">
    <w:abstractNumId w:val="17"/>
  </w:num>
  <w:num w:numId="14">
    <w:abstractNumId w:val="16"/>
  </w:num>
  <w:num w:numId="15">
    <w:abstractNumId w:val="3"/>
  </w:num>
  <w:num w:numId="16">
    <w:abstractNumId w:val="11"/>
  </w:num>
  <w:num w:numId="17">
    <w:abstractNumId w:val="5"/>
  </w:num>
  <w:num w:numId="18">
    <w:abstractNumId w:val="6"/>
  </w:num>
  <w:num w:numId="19">
    <w:abstractNumId w:val="3"/>
  </w:num>
  <w:num w:numId="20">
    <w:abstractNumId w:val="12"/>
  </w:num>
  <w:num w:numId="21">
    <w:abstractNumId w:val="2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13E"/>
    <w:rsid w:val="0000067B"/>
    <w:rsid w:val="00005B61"/>
    <w:rsid w:val="00006B85"/>
    <w:rsid w:val="00006D71"/>
    <w:rsid w:val="00006FF0"/>
    <w:rsid w:val="0001224E"/>
    <w:rsid w:val="00012CE6"/>
    <w:rsid w:val="000131BE"/>
    <w:rsid w:val="0001494D"/>
    <w:rsid w:val="00015B47"/>
    <w:rsid w:val="00016275"/>
    <w:rsid w:val="00016F6E"/>
    <w:rsid w:val="00017103"/>
    <w:rsid w:val="00020E89"/>
    <w:rsid w:val="00020F22"/>
    <w:rsid w:val="00021768"/>
    <w:rsid w:val="0002485B"/>
    <w:rsid w:val="000264BC"/>
    <w:rsid w:val="0002719D"/>
    <w:rsid w:val="000307C3"/>
    <w:rsid w:val="00030F7D"/>
    <w:rsid w:val="00030F92"/>
    <w:rsid w:val="000320AA"/>
    <w:rsid w:val="00032E4D"/>
    <w:rsid w:val="0003545C"/>
    <w:rsid w:val="00036253"/>
    <w:rsid w:val="00040CE5"/>
    <w:rsid w:val="0004210F"/>
    <w:rsid w:val="00043723"/>
    <w:rsid w:val="00045FAC"/>
    <w:rsid w:val="00047DB2"/>
    <w:rsid w:val="00054AAC"/>
    <w:rsid w:val="00054EA4"/>
    <w:rsid w:val="000551BB"/>
    <w:rsid w:val="00055451"/>
    <w:rsid w:val="000559F8"/>
    <w:rsid w:val="0006060E"/>
    <w:rsid w:val="00061213"/>
    <w:rsid w:val="00061FB4"/>
    <w:rsid w:val="00063CC7"/>
    <w:rsid w:val="000642A1"/>
    <w:rsid w:val="00064E3D"/>
    <w:rsid w:val="000654A2"/>
    <w:rsid w:val="00065C94"/>
    <w:rsid w:val="00066C23"/>
    <w:rsid w:val="00067DE9"/>
    <w:rsid w:val="00070420"/>
    <w:rsid w:val="00072552"/>
    <w:rsid w:val="000732A1"/>
    <w:rsid w:val="000735C0"/>
    <w:rsid w:val="0007368E"/>
    <w:rsid w:val="000739DE"/>
    <w:rsid w:val="00073E16"/>
    <w:rsid w:val="000749E3"/>
    <w:rsid w:val="000756FC"/>
    <w:rsid w:val="00082671"/>
    <w:rsid w:val="00082942"/>
    <w:rsid w:val="00082C77"/>
    <w:rsid w:val="00083ED3"/>
    <w:rsid w:val="00085FF7"/>
    <w:rsid w:val="00086A0B"/>
    <w:rsid w:val="00091A24"/>
    <w:rsid w:val="0009354E"/>
    <w:rsid w:val="00093765"/>
    <w:rsid w:val="00094A4F"/>
    <w:rsid w:val="000959E2"/>
    <w:rsid w:val="00096AF2"/>
    <w:rsid w:val="000A1302"/>
    <w:rsid w:val="000A19C3"/>
    <w:rsid w:val="000A207B"/>
    <w:rsid w:val="000A229E"/>
    <w:rsid w:val="000A31F3"/>
    <w:rsid w:val="000A445E"/>
    <w:rsid w:val="000A580E"/>
    <w:rsid w:val="000A5E1F"/>
    <w:rsid w:val="000A629E"/>
    <w:rsid w:val="000A7511"/>
    <w:rsid w:val="000A78CA"/>
    <w:rsid w:val="000A791B"/>
    <w:rsid w:val="000A7966"/>
    <w:rsid w:val="000A7BE5"/>
    <w:rsid w:val="000B225D"/>
    <w:rsid w:val="000B3EA5"/>
    <w:rsid w:val="000B49C5"/>
    <w:rsid w:val="000C1C96"/>
    <w:rsid w:val="000C2ECF"/>
    <w:rsid w:val="000C2F8D"/>
    <w:rsid w:val="000C392E"/>
    <w:rsid w:val="000C40F6"/>
    <w:rsid w:val="000C46C7"/>
    <w:rsid w:val="000C47FE"/>
    <w:rsid w:val="000C5B08"/>
    <w:rsid w:val="000C5BE6"/>
    <w:rsid w:val="000D074B"/>
    <w:rsid w:val="000D1611"/>
    <w:rsid w:val="000D1928"/>
    <w:rsid w:val="000D2B3B"/>
    <w:rsid w:val="000D36FF"/>
    <w:rsid w:val="000D3876"/>
    <w:rsid w:val="000D58C7"/>
    <w:rsid w:val="000E1D97"/>
    <w:rsid w:val="000E2299"/>
    <w:rsid w:val="000E367D"/>
    <w:rsid w:val="000E4BC1"/>
    <w:rsid w:val="000E646C"/>
    <w:rsid w:val="000E6A80"/>
    <w:rsid w:val="000E6E3F"/>
    <w:rsid w:val="000E6FC4"/>
    <w:rsid w:val="000E7B9E"/>
    <w:rsid w:val="000F1A90"/>
    <w:rsid w:val="000F275D"/>
    <w:rsid w:val="000F27FA"/>
    <w:rsid w:val="000F31F5"/>
    <w:rsid w:val="000F5C66"/>
    <w:rsid w:val="000F62A8"/>
    <w:rsid w:val="000F636E"/>
    <w:rsid w:val="00100B61"/>
    <w:rsid w:val="001018B4"/>
    <w:rsid w:val="00101DB0"/>
    <w:rsid w:val="0010302E"/>
    <w:rsid w:val="001053FE"/>
    <w:rsid w:val="00106E8D"/>
    <w:rsid w:val="00107E3F"/>
    <w:rsid w:val="00111DA7"/>
    <w:rsid w:val="0011522C"/>
    <w:rsid w:val="001161BD"/>
    <w:rsid w:val="00116CF8"/>
    <w:rsid w:val="00116F7B"/>
    <w:rsid w:val="00120644"/>
    <w:rsid w:val="001209E7"/>
    <w:rsid w:val="00120DBA"/>
    <w:rsid w:val="0012185F"/>
    <w:rsid w:val="0012265B"/>
    <w:rsid w:val="00124862"/>
    <w:rsid w:val="00127E06"/>
    <w:rsid w:val="00130F02"/>
    <w:rsid w:val="00133D25"/>
    <w:rsid w:val="00134EB9"/>
    <w:rsid w:val="00135580"/>
    <w:rsid w:val="00137329"/>
    <w:rsid w:val="0014018D"/>
    <w:rsid w:val="001427E6"/>
    <w:rsid w:val="00150EC1"/>
    <w:rsid w:val="00150F72"/>
    <w:rsid w:val="00151D17"/>
    <w:rsid w:val="001520C9"/>
    <w:rsid w:val="0015233A"/>
    <w:rsid w:val="001526B4"/>
    <w:rsid w:val="001531D3"/>
    <w:rsid w:val="00153502"/>
    <w:rsid w:val="001538CF"/>
    <w:rsid w:val="0015504F"/>
    <w:rsid w:val="00163DD8"/>
    <w:rsid w:val="00164166"/>
    <w:rsid w:val="00166006"/>
    <w:rsid w:val="001667F8"/>
    <w:rsid w:val="00167007"/>
    <w:rsid w:val="00167832"/>
    <w:rsid w:val="00167BDD"/>
    <w:rsid w:val="001703FF"/>
    <w:rsid w:val="00170A4A"/>
    <w:rsid w:val="00171B90"/>
    <w:rsid w:val="001741D3"/>
    <w:rsid w:val="001743F5"/>
    <w:rsid w:val="00177A29"/>
    <w:rsid w:val="001801A5"/>
    <w:rsid w:val="001801B1"/>
    <w:rsid w:val="00180CD3"/>
    <w:rsid w:val="00181FBC"/>
    <w:rsid w:val="00182108"/>
    <w:rsid w:val="00182DF4"/>
    <w:rsid w:val="00185F9A"/>
    <w:rsid w:val="001910B0"/>
    <w:rsid w:val="00192C48"/>
    <w:rsid w:val="00192DC9"/>
    <w:rsid w:val="00193561"/>
    <w:rsid w:val="0019368C"/>
    <w:rsid w:val="001936B6"/>
    <w:rsid w:val="00193FA8"/>
    <w:rsid w:val="00195A6D"/>
    <w:rsid w:val="00195FAC"/>
    <w:rsid w:val="001977A7"/>
    <w:rsid w:val="00197E72"/>
    <w:rsid w:val="001A0669"/>
    <w:rsid w:val="001A1384"/>
    <w:rsid w:val="001A26BC"/>
    <w:rsid w:val="001A2CA8"/>
    <w:rsid w:val="001A30C6"/>
    <w:rsid w:val="001A4E1D"/>
    <w:rsid w:val="001A5124"/>
    <w:rsid w:val="001A6879"/>
    <w:rsid w:val="001A7550"/>
    <w:rsid w:val="001B114A"/>
    <w:rsid w:val="001B213D"/>
    <w:rsid w:val="001B27FB"/>
    <w:rsid w:val="001B3170"/>
    <w:rsid w:val="001B31BB"/>
    <w:rsid w:val="001B478A"/>
    <w:rsid w:val="001B4977"/>
    <w:rsid w:val="001B5F40"/>
    <w:rsid w:val="001B5FAC"/>
    <w:rsid w:val="001B6B4A"/>
    <w:rsid w:val="001B79F8"/>
    <w:rsid w:val="001C1CFE"/>
    <w:rsid w:val="001C2680"/>
    <w:rsid w:val="001C2EEF"/>
    <w:rsid w:val="001C2F67"/>
    <w:rsid w:val="001C4CA2"/>
    <w:rsid w:val="001C6C5C"/>
    <w:rsid w:val="001C76B2"/>
    <w:rsid w:val="001D3971"/>
    <w:rsid w:val="001D4EBE"/>
    <w:rsid w:val="001D65B9"/>
    <w:rsid w:val="001D6ED3"/>
    <w:rsid w:val="001D7655"/>
    <w:rsid w:val="001E2FC5"/>
    <w:rsid w:val="001E342D"/>
    <w:rsid w:val="001E54D6"/>
    <w:rsid w:val="001E5829"/>
    <w:rsid w:val="001E5B0E"/>
    <w:rsid w:val="001E7FB3"/>
    <w:rsid w:val="001F20D6"/>
    <w:rsid w:val="001F21C7"/>
    <w:rsid w:val="001F2539"/>
    <w:rsid w:val="001F2A11"/>
    <w:rsid w:val="001F3E23"/>
    <w:rsid w:val="001F50E8"/>
    <w:rsid w:val="001F55E6"/>
    <w:rsid w:val="001F7D03"/>
    <w:rsid w:val="0020251E"/>
    <w:rsid w:val="00202DA1"/>
    <w:rsid w:val="0020343B"/>
    <w:rsid w:val="00203B09"/>
    <w:rsid w:val="00203F67"/>
    <w:rsid w:val="00205237"/>
    <w:rsid w:val="002056CB"/>
    <w:rsid w:val="00205711"/>
    <w:rsid w:val="00210A2C"/>
    <w:rsid w:val="002115B8"/>
    <w:rsid w:val="00212CD0"/>
    <w:rsid w:val="00217720"/>
    <w:rsid w:val="002200A4"/>
    <w:rsid w:val="002200C4"/>
    <w:rsid w:val="00221B4C"/>
    <w:rsid w:val="002225AE"/>
    <w:rsid w:val="002227DD"/>
    <w:rsid w:val="00222EC5"/>
    <w:rsid w:val="00223188"/>
    <w:rsid w:val="00226DC4"/>
    <w:rsid w:val="00232C26"/>
    <w:rsid w:val="00234C9D"/>
    <w:rsid w:val="0023608E"/>
    <w:rsid w:val="00236567"/>
    <w:rsid w:val="002406A7"/>
    <w:rsid w:val="00242431"/>
    <w:rsid w:val="00242CD0"/>
    <w:rsid w:val="00247330"/>
    <w:rsid w:val="0025229B"/>
    <w:rsid w:val="002525FD"/>
    <w:rsid w:val="00253E8B"/>
    <w:rsid w:val="002540DC"/>
    <w:rsid w:val="002545BD"/>
    <w:rsid w:val="00255A79"/>
    <w:rsid w:val="0025707B"/>
    <w:rsid w:val="00263F56"/>
    <w:rsid w:val="0026438F"/>
    <w:rsid w:val="00264732"/>
    <w:rsid w:val="0026569F"/>
    <w:rsid w:val="00266D39"/>
    <w:rsid w:val="00270E94"/>
    <w:rsid w:val="0027106B"/>
    <w:rsid w:val="002714F6"/>
    <w:rsid w:val="002715A7"/>
    <w:rsid w:val="0027352A"/>
    <w:rsid w:val="0027683A"/>
    <w:rsid w:val="002777C5"/>
    <w:rsid w:val="002804E7"/>
    <w:rsid w:val="002807A9"/>
    <w:rsid w:val="00280BC5"/>
    <w:rsid w:val="00281E50"/>
    <w:rsid w:val="0028346C"/>
    <w:rsid w:val="0028498A"/>
    <w:rsid w:val="00286710"/>
    <w:rsid w:val="00287398"/>
    <w:rsid w:val="00287653"/>
    <w:rsid w:val="00290F17"/>
    <w:rsid w:val="002910A4"/>
    <w:rsid w:val="00295535"/>
    <w:rsid w:val="0029571B"/>
    <w:rsid w:val="00295A9B"/>
    <w:rsid w:val="00297F1C"/>
    <w:rsid w:val="002A12C8"/>
    <w:rsid w:val="002A138E"/>
    <w:rsid w:val="002A1E9D"/>
    <w:rsid w:val="002A26B9"/>
    <w:rsid w:val="002A5849"/>
    <w:rsid w:val="002B06BA"/>
    <w:rsid w:val="002B1ACA"/>
    <w:rsid w:val="002B1DF9"/>
    <w:rsid w:val="002B27A2"/>
    <w:rsid w:val="002B310E"/>
    <w:rsid w:val="002B480F"/>
    <w:rsid w:val="002B4922"/>
    <w:rsid w:val="002B49E8"/>
    <w:rsid w:val="002B5183"/>
    <w:rsid w:val="002C0055"/>
    <w:rsid w:val="002C253C"/>
    <w:rsid w:val="002C76C4"/>
    <w:rsid w:val="002D26E6"/>
    <w:rsid w:val="002D31C5"/>
    <w:rsid w:val="002D4A6F"/>
    <w:rsid w:val="002D4E8F"/>
    <w:rsid w:val="002D529B"/>
    <w:rsid w:val="002D57AF"/>
    <w:rsid w:val="002D68FB"/>
    <w:rsid w:val="002D6A9F"/>
    <w:rsid w:val="002D7400"/>
    <w:rsid w:val="002D77D0"/>
    <w:rsid w:val="002D7B1C"/>
    <w:rsid w:val="002E09CC"/>
    <w:rsid w:val="002E1978"/>
    <w:rsid w:val="002E1E3C"/>
    <w:rsid w:val="002E32A7"/>
    <w:rsid w:val="002E57FE"/>
    <w:rsid w:val="002E5FA5"/>
    <w:rsid w:val="002E6310"/>
    <w:rsid w:val="002F0AE2"/>
    <w:rsid w:val="002F28C2"/>
    <w:rsid w:val="002F3262"/>
    <w:rsid w:val="002F3343"/>
    <w:rsid w:val="002F3B2D"/>
    <w:rsid w:val="002F3DDE"/>
    <w:rsid w:val="002F407B"/>
    <w:rsid w:val="002F4B22"/>
    <w:rsid w:val="0030084D"/>
    <w:rsid w:val="003009CF"/>
    <w:rsid w:val="003044FA"/>
    <w:rsid w:val="003068CD"/>
    <w:rsid w:val="00307745"/>
    <w:rsid w:val="00310247"/>
    <w:rsid w:val="0031089D"/>
    <w:rsid w:val="0031184B"/>
    <w:rsid w:val="00312A4E"/>
    <w:rsid w:val="003138CF"/>
    <w:rsid w:val="00320260"/>
    <w:rsid w:val="003231E2"/>
    <w:rsid w:val="00323F1F"/>
    <w:rsid w:val="00324B73"/>
    <w:rsid w:val="00324FFB"/>
    <w:rsid w:val="00327158"/>
    <w:rsid w:val="00327213"/>
    <w:rsid w:val="003276F5"/>
    <w:rsid w:val="003318DD"/>
    <w:rsid w:val="00331FF3"/>
    <w:rsid w:val="00332030"/>
    <w:rsid w:val="00334058"/>
    <w:rsid w:val="0033406F"/>
    <w:rsid w:val="003434F1"/>
    <w:rsid w:val="00343E29"/>
    <w:rsid w:val="00345EC9"/>
    <w:rsid w:val="00350973"/>
    <w:rsid w:val="003519EA"/>
    <w:rsid w:val="00353703"/>
    <w:rsid w:val="0035392D"/>
    <w:rsid w:val="00355147"/>
    <w:rsid w:val="00355879"/>
    <w:rsid w:val="003559CB"/>
    <w:rsid w:val="003572CB"/>
    <w:rsid w:val="00361C71"/>
    <w:rsid w:val="00361F40"/>
    <w:rsid w:val="00373B8C"/>
    <w:rsid w:val="00377504"/>
    <w:rsid w:val="0037789D"/>
    <w:rsid w:val="00377E6F"/>
    <w:rsid w:val="00381468"/>
    <w:rsid w:val="003826E2"/>
    <w:rsid w:val="00383199"/>
    <w:rsid w:val="00383523"/>
    <w:rsid w:val="003840FF"/>
    <w:rsid w:val="00385309"/>
    <w:rsid w:val="00386CAA"/>
    <w:rsid w:val="003927FB"/>
    <w:rsid w:val="00392C56"/>
    <w:rsid w:val="00395117"/>
    <w:rsid w:val="00395BFA"/>
    <w:rsid w:val="00396C7A"/>
    <w:rsid w:val="00397686"/>
    <w:rsid w:val="003977F9"/>
    <w:rsid w:val="003A01B5"/>
    <w:rsid w:val="003A1A75"/>
    <w:rsid w:val="003A1DF9"/>
    <w:rsid w:val="003A2052"/>
    <w:rsid w:val="003A317D"/>
    <w:rsid w:val="003A5C97"/>
    <w:rsid w:val="003A6EFE"/>
    <w:rsid w:val="003B02D6"/>
    <w:rsid w:val="003B09AD"/>
    <w:rsid w:val="003B0C97"/>
    <w:rsid w:val="003B12FA"/>
    <w:rsid w:val="003B2C74"/>
    <w:rsid w:val="003B3E2A"/>
    <w:rsid w:val="003B4D61"/>
    <w:rsid w:val="003B7178"/>
    <w:rsid w:val="003C0198"/>
    <w:rsid w:val="003C0863"/>
    <w:rsid w:val="003C1978"/>
    <w:rsid w:val="003C207C"/>
    <w:rsid w:val="003C38B6"/>
    <w:rsid w:val="003C521A"/>
    <w:rsid w:val="003C7EF3"/>
    <w:rsid w:val="003D13D3"/>
    <w:rsid w:val="003D3682"/>
    <w:rsid w:val="003D40E3"/>
    <w:rsid w:val="003D471E"/>
    <w:rsid w:val="003D4BF2"/>
    <w:rsid w:val="003D5BFC"/>
    <w:rsid w:val="003D6567"/>
    <w:rsid w:val="003E0ABE"/>
    <w:rsid w:val="003E1BE1"/>
    <w:rsid w:val="003E299D"/>
    <w:rsid w:val="003E4D14"/>
    <w:rsid w:val="003E56A4"/>
    <w:rsid w:val="003E5B29"/>
    <w:rsid w:val="003E7602"/>
    <w:rsid w:val="003F089C"/>
    <w:rsid w:val="003F1B3C"/>
    <w:rsid w:val="003F1E1C"/>
    <w:rsid w:val="003F3DFB"/>
    <w:rsid w:val="003F64DE"/>
    <w:rsid w:val="003F6C52"/>
    <w:rsid w:val="0040127E"/>
    <w:rsid w:val="00401624"/>
    <w:rsid w:val="00405291"/>
    <w:rsid w:val="0040699B"/>
    <w:rsid w:val="00407E8D"/>
    <w:rsid w:val="00413634"/>
    <w:rsid w:val="00414394"/>
    <w:rsid w:val="0041622B"/>
    <w:rsid w:val="00416493"/>
    <w:rsid w:val="004211C0"/>
    <w:rsid w:val="00421F13"/>
    <w:rsid w:val="00422084"/>
    <w:rsid w:val="004220C3"/>
    <w:rsid w:val="00422BBF"/>
    <w:rsid w:val="00423392"/>
    <w:rsid w:val="00424A6D"/>
    <w:rsid w:val="00425486"/>
    <w:rsid w:val="00426E11"/>
    <w:rsid w:val="00426ED8"/>
    <w:rsid w:val="00427D21"/>
    <w:rsid w:val="00431182"/>
    <w:rsid w:val="004339F9"/>
    <w:rsid w:val="00435E4E"/>
    <w:rsid w:val="00436915"/>
    <w:rsid w:val="0044072D"/>
    <w:rsid w:val="00442115"/>
    <w:rsid w:val="0044626B"/>
    <w:rsid w:val="00446C3B"/>
    <w:rsid w:val="004504B8"/>
    <w:rsid w:val="004512DA"/>
    <w:rsid w:val="0045193D"/>
    <w:rsid w:val="00454691"/>
    <w:rsid w:val="00455841"/>
    <w:rsid w:val="004613BD"/>
    <w:rsid w:val="00461E21"/>
    <w:rsid w:val="00462390"/>
    <w:rsid w:val="004639A8"/>
    <w:rsid w:val="004646E1"/>
    <w:rsid w:val="0046494D"/>
    <w:rsid w:val="0046656C"/>
    <w:rsid w:val="00467963"/>
    <w:rsid w:val="00467D21"/>
    <w:rsid w:val="00467ECC"/>
    <w:rsid w:val="00471611"/>
    <w:rsid w:val="004719F0"/>
    <w:rsid w:val="00476247"/>
    <w:rsid w:val="00477371"/>
    <w:rsid w:val="00477483"/>
    <w:rsid w:val="004802E4"/>
    <w:rsid w:val="00480685"/>
    <w:rsid w:val="0048316D"/>
    <w:rsid w:val="004837BB"/>
    <w:rsid w:val="0048398A"/>
    <w:rsid w:val="004842A6"/>
    <w:rsid w:val="00493260"/>
    <w:rsid w:val="00493E50"/>
    <w:rsid w:val="00493ED0"/>
    <w:rsid w:val="004947B3"/>
    <w:rsid w:val="00495862"/>
    <w:rsid w:val="004A04ED"/>
    <w:rsid w:val="004A0627"/>
    <w:rsid w:val="004A071E"/>
    <w:rsid w:val="004A3560"/>
    <w:rsid w:val="004A37E6"/>
    <w:rsid w:val="004A6441"/>
    <w:rsid w:val="004A648F"/>
    <w:rsid w:val="004A7677"/>
    <w:rsid w:val="004A76F3"/>
    <w:rsid w:val="004A7F90"/>
    <w:rsid w:val="004B3D57"/>
    <w:rsid w:val="004B60DD"/>
    <w:rsid w:val="004C07D5"/>
    <w:rsid w:val="004C08DF"/>
    <w:rsid w:val="004C0A74"/>
    <w:rsid w:val="004C0CDB"/>
    <w:rsid w:val="004C18F5"/>
    <w:rsid w:val="004C3A3C"/>
    <w:rsid w:val="004C4633"/>
    <w:rsid w:val="004C59BD"/>
    <w:rsid w:val="004C5C47"/>
    <w:rsid w:val="004C6B17"/>
    <w:rsid w:val="004C7388"/>
    <w:rsid w:val="004D046E"/>
    <w:rsid w:val="004D4DF3"/>
    <w:rsid w:val="004D5A05"/>
    <w:rsid w:val="004D75E6"/>
    <w:rsid w:val="004E1101"/>
    <w:rsid w:val="004E1367"/>
    <w:rsid w:val="004E1EAE"/>
    <w:rsid w:val="004E1EEE"/>
    <w:rsid w:val="004E2152"/>
    <w:rsid w:val="004E5F0C"/>
    <w:rsid w:val="004E6967"/>
    <w:rsid w:val="004F06D5"/>
    <w:rsid w:val="004F0743"/>
    <w:rsid w:val="004F1C8E"/>
    <w:rsid w:val="004F2AD2"/>
    <w:rsid w:val="004F3661"/>
    <w:rsid w:val="004F3C15"/>
    <w:rsid w:val="004F3E35"/>
    <w:rsid w:val="004F6E11"/>
    <w:rsid w:val="004F753B"/>
    <w:rsid w:val="004F7CCA"/>
    <w:rsid w:val="00500B60"/>
    <w:rsid w:val="005024E9"/>
    <w:rsid w:val="00503DEE"/>
    <w:rsid w:val="00504F9D"/>
    <w:rsid w:val="00505733"/>
    <w:rsid w:val="005062BE"/>
    <w:rsid w:val="00507107"/>
    <w:rsid w:val="00510647"/>
    <w:rsid w:val="00511BCF"/>
    <w:rsid w:val="00511DE0"/>
    <w:rsid w:val="00514E63"/>
    <w:rsid w:val="0051535B"/>
    <w:rsid w:val="005160E7"/>
    <w:rsid w:val="005161AE"/>
    <w:rsid w:val="00516848"/>
    <w:rsid w:val="00516A18"/>
    <w:rsid w:val="005200EB"/>
    <w:rsid w:val="00521105"/>
    <w:rsid w:val="005215A9"/>
    <w:rsid w:val="00524822"/>
    <w:rsid w:val="00524E32"/>
    <w:rsid w:val="0053278F"/>
    <w:rsid w:val="00533C68"/>
    <w:rsid w:val="0053413C"/>
    <w:rsid w:val="00534327"/>
    <w:rsid w:val="00536364"/>
    <w:rsid w:val="00540FAE"/>
    <w:rsid w:val="005440F2"/>
    <w:rsid w:val="00544DE6"/>
    <w:rsid w:val="005465B5"/>
    <w:rsid w:val="00551C3E"/>
    <w:rsid w:val="00555F23"/>
    <w:rsid w:val="005566CD"/>
    <w:rsid w:val="00556DE7"/>
    <w:rsid w:val="00557986"/>
    <w:rsid w:val="005606FB"/>
    <w:rsid w:val="00563660"/>
    <w:rsid w:val="00564752"/>
    <w:rsid w:val="005658BA"/>
    <w:rsid w:val="00565D32"/>
    <w:rsid w:val="00566B0D"/>
    <w:rsid w:val="00567455"/>
    <w:rsid w:val="00567696"/>
    <w:rsid w:val="0057037F"/>
    <w:rsid w:val="005711B9"/>
    <w:rsid w:val="005728B0"/>
    <w:rsid w:val="00573256"/>
    <w:rsid w:val="00574040"/>
    <w:rsid w:val="00574441"/>
    <w:rsid w:val="00574BFF"/>
    <w:rsid w:val="00574CD3"/>
    <w:rsid w:val="00575E74"/>
    <w:rsid w:val="00576914"/>
    <w:rsid w:val="00576976"/>
    <w:rsid w:val="00576F15"/>
    <w:rsid w:val="00577C6B"/>
    <w:rsid w:val="00581926"/>
    <w:rsid w:val="005837D0"/>
    <w:rsid w:val="00583A77"/>
    <w:rsid w:val="00583F15"/>
    <w:rsid w:val="00584D44"/>
    <w:rsid w:val="00585D50"/>
    <w:rsid w:val="00585F42"/>
    <w:rsid w:val="00586AF8"/>
    <w:rsid w:val="00587B41"/>
    <w:rsid w:val="00594544"/>
    <w:rsid w:val="005A3295"/>
    <w:rsid w:val="005A5ACD"/>
    <w:rsid w:val="005B2B1E"/>
    <w:rsid w:val="005B47F7"/>
    <w:rsid w:val="005B5DDF"/>
    <w:rsid w:val="005B6524"/>
    <w:rsid w:val="005B73FD"/>
    <w:rsid w:val="005B7E47"/>
    <w:rsid w:val="005C0888"/>
    <w:rsid w:val="005C231D"/>
    <w:rsid w:val="005C2E08"/>
    <w:rsid w:val="005C43AF"/>
    <w:rsid w:val="005C4CFA"/>
    <w:rsid w:val="005C557B"/>
    <w:rsid w:val="005C5E3F"/>
    <w:rsid w:val="005C5F34"/>
    <w:rsid w:val="005C7C94"/>
    <w:rsid w:val="005D4E5A"/>
    <w:rsid w:val="005D5229"/>
    <w:rsid w:val="005D5DBC"/>
    <w:rsid w:val="005E5B9E"/>
    <w:rsid w:val="005E5C2C"/>
    <w:rsid w:val="005E6317"/>
    <w:rsid w:val="005E6AA1"/>
    <w:rsid w:val="005E6EE7"/>
    <w:rsid w:val="005F1584"/>
    <w:rsid w:val="005F2E0F"/>
    <w:rsid w:val="005F3509"/>
    <w:rsid w:val="005F661E"/>
    <w:rsid w:val="005F691D"/>
    <w:rsid w:val="005F7F93"/>
    <w:rsid w:val="00600A73"/>
    <w:rsid w:val="00602860"/>
    <w:rsid w:val="00602DE3"/>
    <w:rsid w:val="006030CD"/>
    <w:rsid w:val="006057CB"/>
    <w:rsid w:val="006059F2"/>
    <w:rsid w:val="00611A3F"/>
    <w:rsid w:val="006129D1"/>
    <w:rsid w:val="00614C22"/>
    <w:rsid w:val="00615022"/>
    <w:rsid w:val="00615124"/>
    <w:rsid w:val="00615AA8"/>
    <w:rsid w:val="0061792A"/>
    <w:rsid w:val="00617EC5"/>
    <w:rsid w:val="0062060A"/>
    <w:rsid w:val="00620AF0"/>
    <w:rsid w:val="006238D7"/>
    <w:rsid w:val="00624662"/>
    <w:rsid w:val="006246ED"/>
    <w:rsid w:val="006264E1"/>
    <w:rsid w:val="00626780"/>
    <w:rsid w:val="006309C1"/>
    <w:rsid w:val="0063211C"/>
    <w:rsid w:val="0063287E"/>
    <w:rsid w:val="00633847"/>
    <w:rsid w:val="00633BBF"/>
    <w:rsid w:val="00634AC8"/>
    <w:rsid w:val="00634B8C"/>
    <w:rsid w:val="00635550"/>
    <w:rsid w:val="006368DB"/>
    <w:rsid w:val="00636BC8"/>
    <w:rsid w:val="00637B23"/>
    <w:rsid w:val="00637ED6"/>
    <w:rsid w:val="00643655"/>
    <w:rsid w:val="006438DC"/>
    <w:rsid w:val="00644671"/>
    <w:rsid w:val="00646273"/>
    <w:rsid w:val="00646D08"/>
    <w:rsid w:val="006519E6"/>
    <w:rsid w:val="00652AF3"/>
    <w:rsid w:val="00653B99"/>
    <w:rsid w:val="00654B4B"/>
    <w:rsid w:val="006556D8"/>
    <w:rsid w:val="006564DB"/>
    <w:rsid w:val="006572DA"/>
    <w:rsid w:val="00657E13"/>
    <w:rsid w:val="00657F8C"/>
    <w:rsid w:val="00660127"/>
    <w:rsid w:val="0066082F"/>
    <w:rsid w:val="006615D0"/>
    <w:rsid w:val="00662076"/>
    <w:rsid w:val="00662E37"/>
    <w:rsid w:val="006638D8"/>
    <w:rsid w:val="00663D9C"/>
    <w:rsid w:val="00664903"/>
    <w:rsid w:val="00667F51"/>
    <w:rsid w:val="0067032E"/>
    <w:rsid w:val="00671687"/>
    <w:rsid w:val="006724B2"/>
    <w:rsid w:val="006730FC"/>
    <w:rsid w:val="00675BC6"/>
    <w:rsid w:val="0067669D"/>
    <w:rsid w:val="00677082"/>
    <w:rsid w:val="006775D3"/>
    <w:rsid w:val="006807A3"/>
    <w:rsid w:val="006816BB"/>
    <w:rsid w:val="006840E0"/>
    <w:rsid w:val="00687171"/>
    <w:rsid w:val="00687F07"/>
    <w:rsid w:val="006900EC"/>
    <w:rsid w:val="00692E9F"/>
    <w:rsid w:val="00694B64"/>
    <w:rsid w:val="0069563E"/>
    <w:rsid w:val="00697C96"/>
    <w:rsid w:val="006A02ED"/>
    <w:rsid w:val="006A0699"/>
    <w:rsid w:val="006A3CF3"/>
    <w:rsid w:val="006A3F03"/>
    <w:rsid w:val="006A4B5B"/>
    <w:rsid w:val="006A4F31"/>
    <w:rsid w:val="006B2DE7"/>
    <w:rsid w:val="006B38E7"/>
    <w:rsid w:val="006B42D2"/>
    <w:rsid w:val="006B5825"/>
    <w:rsid w:val="006C030D"/>
    <w:rsid w:val="006C413F"/>
    <w:rsid w:val="006C4413"/>
    <w:rsid w:val="006C4A68"/>
    <w:rsid w:val="006C6420"/>
    <w:rsid w:val="006C6C8A"/>
    <w:rsid w:val="006C7264"/>
    <w:rsid w:val="006C7E81"/>
    <w:rsid w:val="006D063A"/>
    <w:rsid w:val="006D0688"/>
    <w:rsid w:val="006D1A02"/>
    <w:rsid w:val="006D2B5D"/>
    <w:rsid w:val="006D3A78"/>
    <w:rsid w:val="006D62C2"/>
    <w:rsid w:val="006D6355"/>
    <w:rsid w:val="006E083C"/>
    <w:rsid w:val="006E1326"/>
    <w:rsid w:val="006E384B"/>
    <w:rsid w:val="006E3C63"/>
    <w:rsid w:val="006E5527"/>
    <w:rsid w:val="006E73B9"/>
    <w:rsid w:val="006F068C"/>
    <w:rsid w:val="006F3FF4"/>
    <w:rsid w:val="006F61A2"/>
    <w:rsid w:val="006F62D8"/>
    <w:rsid w:val="006F6AFE"/>
    <w:rsid w:val="006F70B3"/>
    <w:rsid w:val="006F7BDD"/>
    <w:rsid w:val="007009CD"/>
    <w:rsid w:val="00700F36"/>
    <w:rsid w:val="00702118"/>
    <w:rsid w:val="007022EE"/>
    <w:rsid w:val="00704336"/>
    <w:rsid w:val="00704969"/>
    <w:rsid w:val="00705D42"/>
    <w:rsid w:val="007067FE"/>
    <w:rsid w:val="00710472"/>
    <w:rsid w:val="00710566"/>
    <w:rsid w:val="00710A40"/>
    <w:rsid w:val="00710D9C"/>
    <w:rsid w:val="0071478D"/>
    <w:rsid w:val="00714B5E"/>
    <w:rsid w:val="007161B3"/>
    <w:rsid w:val="007173AB"/>
    <w:rsid w:val="007205D2"/>
    <w:rsid w:val="00722838"/>
    <w:rsid w:val="00722C28"/>
    <w:rsid w:val="0072364A"/>
    <w:rsid w:val="00723C6E"/>
    <w:rsid w:val="00724E5D"/>
    <w:rsid w:val="00725206"/>
    <w:rsid w:val="0072726C"/>
    <w:rsid w:val="007321DE"/>
    <w:rsid w:val="00732721"/>
    <w:rsid w:val="007329E6"/>
    <w:rsid w:val="00733F32"/>
    <w:rsid w:val="00736D00"/>
    <w:rsid w:val="00740A54"/>
    <w:rsid w:val="00740BB2"/>
    <w:rsid w:val="00740C04"/>
    <w:rsid w:val="007421FC"/>
    <w:rsid w:val="0074389A"/>
    <w:rsid w:val="00743EF1"/>
    <w:rsid w:val="00744722"/>
    <w:rsid w:val="0074633B"/>
    <w:rsid w:val="007467DF"/>
    <w:rsid w:val="00746C3E"/>
    <w:rsid w:val="00751D24"/>
    <w:rsid w:val="00752D91"/>
    <w:rsid w:val="00753881"/>
    <w:rsid w:val="0075578F"/>
    <w:rsid w:val="0076091D"/>
    <w:rsid w:val="0076158A"/>
    <w:rsid w:val="00761993"/>
    <w:rsid w:val="007638B7"/>
    <w:rsid w:val="00764C21"/>
    <w:rsid w:val="00766BA5"/>
    <w:rsid w:val="007670B2"/>
    <w:rsid w:val="00767489"/>
    <w:rsid w:val="00771D0E"/>
    <w:rsid w:val="00771D84"/>
    <w:rsid w:val="00771F05"/>
    <w:rsid w:val="0077248F"/>
    <w:rsid w:val="00773E4E"/>
    <w:rsid w:val="00774160"/>
    <w:rsid w:val="0077602F"/>
    <w:rsid w:val="0078098B"/>
    <w:rsid w:val="00781D32"/>
    <w:rsid w:val="00782F5B"/>
    <w:rsid w:val="00783501"/>
    <w:rsid w:val="00785CA2"/>
    <w:rsid w:val="00790804"/>
    <w:rsid w:val="00791FBC"/>
    <w:rsid w:val="00792499"/>
    <w:rsid w:val="00792502"/>
    <w:rsid w:val="00792873"/>
    <w:rsid w:val="007937D8"/>
    <w:rsid w:val="00794A9E"/>
    <w:rsid w:val="00794B23"/>
    <w:rsid w:val="007950D7"/>
    <w:rsid w:val="007A12C9"/>
    <w:rsid w:val="007A2B6E"/>
    <w:rsid w:val="007A30AE"/>
    <w:rsid w:val="007A4391"/>
    <w:rsid w:val="007A6E8B"/>
    <w:rsid w:val="007B126A"/>
    <w:rsid w:val="007B2321"/>
    <w:rsid w:val="007B2DBB"/>
    <w:rsid w:val="007B3AF9"/>
    <w:rsid w:val="007C35ED"/>
    <w:rsid w:val="007C4F6D"/>
    <w:rsid w:val="007C5612"/>
    <w:rsid w:val="007C6C3F"/>
    <w:rsid w:val="007C7076"/>
    <w:rsid w:val="007D039F"/>
    <w:rsid w:val="007D06D9"/>
    <w:rsid w:val="007D2079"/>
    <w:rsid w:val="007D28AD"/>
    <w:rsid w:val="007D6B05"/>
    <w:rsid w:val="007D6D21"/>
    <w:rsid w:val="007E0081"/>
    <w:rsid w:val="007E069B"/>
    <w:rsid w:val="007E0E64"/>
    <w:rsid w:val="007E3021"/>
    <w:rsid w:val="007E6299"/>
    <w:rsid w:val="007E6745"/>
    <w:rsid w:val="007E6F12"/>
    <w:rsid w:val="007E795C"/>
    <w:rsid w:val="007E7B47"/>
    <w:rsid w:val="007F171D"/>
    <w:rsid w:val="007F1E0E"/>
    <w:rsid w:val="007F26FF"/>
    <w:rsid w:val="007F2E64"/>
    <w:rsid w:val="007F63DD"/>
    <w:rsid w:val="007F6FAE"/>
    <w:rsid w:val="0080143D"/>
    <w:rsid w:val="008038AC"/>
    <w:rsid w:val="008047FC"/>
    <w:rsid w:val="0080561B"/>
    <w:rsid w:val="00805D46"/>
    <w:rsid w:val="00807311"/>
    <w:rsid w:val="00807A8D"/>
    <w:rsid w:val="008123AE"/>
    <w:rsid w:val="0081271C"/>
    <w:rsid w:val="00812EA5"/>
    <w:rsid w:val="00815664"/>
    <w:rsid w:val="00816D3E"/>
    <w:rsid w:val="00821E5D"/>
    <w:rsid w:val="00823134"/>
    <w:rsid w:val="0082453B"/>
    <w:rsid w:val="008261D8"/>
    <w:rsid w:val="008273A5"/>
    <w:rsid w:val="00830D33"/>
    <w:rsid w:val="00831B02"/>
    <w:rsid w:val="00832027"/>
    <w:rsid w:val="008320FD"/>
    <w:rsid w:val="0083227D"/>
    <w:rsid w:val="00832F1D"/>
    <w:rsid w:val="00833914"/>
    <w:rsid w:val="00834C99"/>
    <w:rsid w:val="008358E2"/>
    <w:rsid w:val="00835D0C"/>
    <w:rsid w:val="00836292"/>
    <w:rsid w:val="00840B95"/>
    <w:rsid w:val="00840DB1"/>
    <w:rsid w:val="0084110D"/>
    <w:rsid w:val="00841984"/>
    <w:rsid w:val="00841A09"/>
    <w:rsid w:val="00843144"/>
    <w:rsid w:val="0084374B"/>
    <w:rsid w:val="00843B09"/>
    <w:rsid w:val="00843D03"/>
    <w:rsid w:val="00844E50"/>
    <w:rsid w:val="008460F1"/>
    <w:rsid w:val="00847873"/>
    <w:rsid w:val="0084792B"/>
    <w:rsid w:val="00847E30"/>
    <w:rsid w:val="0085109E"/>
    <w:rsid w:val="00856587"/>
    <w:rsid w:val="008567F7"/>
    <w:rsid w:val="0085728F"/>
    <w:rsid w:val="00857811"/>
    <w:rsid w:val="0086099C"/>
    <w:rsid w:val="00860F67"/>
    <w:rsid w:val="00861CD3"/>
    <w:rsid w:val="00861DAE"/>
    <w:rsid w:val="00862E0A"/>
    <w:rsid w:val="008666F7"/>
    <w:rsid w:val="00867492"/>
    <w:rsid w:val="00870707"/>
    <w:rsid w:val="00870F91"/>
    <w:rsid w:val="00871E13"/>
    <w:rsid w:val="008724E4"/>
    <w:rsid w:val="00872C06"/>
    <w:rsid w:val="00873AA9"/>
    <w:rsid w:val="00873CD1"/>
    <w:rsid w:val="00876BE3"/>
    <w:rsid w:val="008770AB"/>
    <w:rsid w:val="00880766"/>
    <w:rsid w:val="00880BEC"/>
    <w:rsid w:val="00882952"/>
    <w:rsid w:val="00884C43"/>
    <w:rsid w:val="008851C9"/>
    <w:rsid w:val="008903E4"/>
    <w:rsid w:val="00891600"/>
    <w:rsid w:val="00892185"/>
    <w:rsid w:val="00893FC6"/>
    <w:rsid w:val="00894820"/>
    <w:rsid w:val="00894975"/>
    <w:rsid w:val="00896C1A"/>
    <w:rsid w:val="008976CA"/>
    <w:rsid w:val="00897BAC"/>
    <w:rsid w:val="008A080F"/>
    <w:rsid w:val="008A0FF6"/>
    <w:rsid w:val="008A2003"/>
    <w:rsid w:val="008A22E9"/>
    <w:rsid w:val="008A3CF5"/>
    <w:rsid w:val="008A53D3"/>
    <w:rsid w:val="008A6CAD"/>
    <w:rsid w:val="008B0BE5"/>
    <w:rsid w:val="008B1587"/>
    <w:rsid w:val="008B271D"/>
    <w:rsid w:val="008B5292"/>
    <w:rsid w:val="008B79A8"/>
    <w:rsid w:val="008B7A27"/>
    <w:rsid w:val="008C078C"/>
    <w:rsid w:val="008C0BB5"/>
    <w:rsid w:val="008C1225"/>
    <w:rsid w:val="008C1958"/>
    <w:rsid w:val="008C24B6"/>
    <w:rsid w:val="008C33F7"/>
    <w:rsid w:val="008D07D8"/>
    <w:rsid w:val="008D29BE"/>
    <w:rsid w:val="008D2D7D"/>
    <w:rsid w:val="008D2F0F"/>
    <w:rsid w:val="008D513B"/>
    <w:rsid w:val="008D5375"/>
    <w:rsid w:val="008D5387"/>
    <w:rsid w:val="008D7694"/>
    <w:rsid w:val="008E01B9"/>
    <w:rsid w:val="008E0884"/>
    <w:rsid w:val="008E444E"/>
    <w:rsid w:val="008E6CA6"/>
    <w:rsid w:val="008F1A73"/>
    <w:rsid w:val="008F5E0D"/>
    <w:rsid w:val="008F622B"/>
    <w:rsid w:val="008F623E"/>
    <w:rsid w:val="008F678D"/>
    <w:rsid w:val="00900545"/>
    <w:rsid w:val="00903482"/>
    <w:rsid w:val="00904CF3"/>
    <w:rsid w:val="0090756C"/>
    <w:rsid w:val="00907A58"/>
    <w:rsid w:val="009135DB"/>
    <w:rsid w:val="00915323"/>
    <w:rsid w:val="00916122"/>
    <w:rsid w:val="009177F3"/>
    <w:rsid w:val="00921F73"/>
    <w:rsid w:val="00924CD9"/>
    <w:rsid w:val="00926FC8"/>
    <w:rsid w:val="009276DD"/>
    <w:rsid w:val="00932C92"/>
    <w:rsid w:val="0093321F"/>
    <w:rsid w:val="009332FF"/>
    <w:rsid w:val="0093366A"/>
    <w:rsid w:val="00935C2A"/>
    <w:rsid w:val="0093625C"/>
    <w:rsid w:val="009416CC"/>
    <w:rsid w:val="009440B5"/>
    <w:rsid w:val="0094427B"/>
    <w:rsid w:val="00944B2F"/>
    <w:rsid w:val="00944B4E"/>
    <w:rsid w:val="00947B6F"/>
    <w:rsid w:val="009528D4"/>
    <w:rsid w:val="0095390C"/>
    <w:rsid w:val="0095516D"/>
    <w:rsid w:val="00955711"/>
    <w:rsid w:val="00955A78"/>
    <w:rsid w:val="00957844"/>
    <w:rsid w:val="00960072"/>
    <w:rsid w:val="009622CA"/>
    <w:rsid w:val="00962704"/>
    <w:rsid w:val="00962F47"/>
    <w:rsid w:val="00963581"/>
    <w:rsid w:val="00963B3F"/>
    <w:rsid w:val="009716BD"/>
    <w:rsid w:val="009734BC"/>
    <w:rsid w:val="009833DC"/>
    <w:rsid w:val="00984102"/>
    <w:rsid w:val="009844DC"/>
    <w:rsid w:val="00984F41"/>
    <w:rsid w:val="00985EA3"/>
    <w:rsid w:val="00990EB0"/>
    <w:rsid w:val="009923C7"/>
    <w:rsid w:val="00997126"/>
    <w:rsid w:val="00997A75"/>
    <w:rsid w:val="00997D45"/>
    <w:rsid w:val="009A109B"/>
    <w:rsid w:val="009A130C"/>
    <w:rsid w:val="009A1ED3"/>
    <w:rsid w:val="009A57B9"/>
    <w:rsid w:val="009A6C1A"/>
    <w:rsid w:val="009A6D2B"/>
    <w:rsid w:val="009B1EF3"/>
    <w:rsid w:val="009B2FED"/>
    <w:rsid w:val="009B51CA"/>
    <w:rsid w:val="009B5474"/>
    <w:rsid w:val="009B636C"/>
    <w:rsid w:val="009C061E"/>
    <w:rsid w:val="009C0EDD"/>
    <w:rsid w:val="009C2752"/>
    <w:rsid w:val="009C5153"/>
    <w:rsid w:val="009D0DEE"/>
    <w:rsid w:val="009D124E"/>
    <w:rsid w:val="009D28E0"/>
    <w:rsid w:val="009D45B4"/>
    <w:rsid w:val="009D5F9E"/>
    <w:rsid w:val="009E03A8"/>
    <w:rsid w:val="009E068E"/>
    <w:rsid w:val="009E0B23"/>
    <w:rsid w:val="009E2742"/>
    <w:rsid w:val="009E2D9A"/>
    <w:rsid w:val="009E35BF"/>
    <w:rsid w:val="009E3AA6"/>
    <w:rsid w:val="009E3DA4"/>
    <w:rsid w:val="009E434F"/>
    <w:rsid w:val="009E4D3E"/>
    <w:rsid w:val="009E6225"/>
    <w:rsid w:val="009E6430"/>
    <w:rsid w:val="009E6B0F"/>
    <w:rsid w:val="009F002D"/>
    <w:rsid w:val="009F06C9"/>
    <w:rsid w:val="009F366C"/>
    <w:rsid w:val="009F4043"/>
    <w:rsid w:val="009F6392"/>
    <w:rsid w:val="009F6768"/>
    <w:rsid w:val="009F7EEC"/>
    <w:rsid w:val="00A024F6"/>
    <w:rsid w:val="00A02B33"/>
    <w:rsid w:val="00A0409E"/>
    <w:rsid w:val="00A04C1E"/>
    <w:rsid w:val="00A05D49"/>
    <w:rsid w:val="00A06151"/>
    <w:rsid w:val="00A06702"/>
    <w:rsid w:val="00A071DE"/>
    <w:rsid w:val="00A1049E"/>
    <w:rsid w:val="00A105B5"/>
    <w:rsid w:val="00A108B8"/>
    <w:rsid w:val="00A111B7"/>
    <w:rsid w:val="00A14A6A"/>
    <w:rsid w:val="00A15590"/>
    <w:rsid w:val="00A17264"/>
    <w:rsid w:val="00A17A76"/>
    <w:rsid w:val="00A200B4"/>
    <w:rsid w:val="00A216A6"/>
    <w:rsid w:val="00A229EB"/>
    <w:rsid w:val="00A24445"/>
    <w:rsid w:val="00A25D45"/>
    <w:rsid w:val="00A25E04"/>
    <w:rsid w:val="00A264DD"/>
    <w:rsid w:val="00A309E0"/>
    <w:rsid w:val="00A3210B"/>
    <w:rsid w:val="00A32913"/>
    <w:rsid w:val="00A33A6A"/>
    <w:rsid w:val="00A34B8B"/>
    <w:rsid w:val="00A3537D"/>
    <w:rsid w:val="00A356F6"/>
    <w:rsid w:val="00A357CC"/>
    <w:rsid w:val="00A37388"/>
    <w:rsid w:val="00A37F5C"/>
    <w:rsid w:val="00A4136A"/>
    <w:rsid w:val="00A4398B"/>
    <w:rsid w:val="00A46982"/>
    <w:rsid w:val="00A47C41"/>
    <w:rsid w:val="00A5310A"/>
    <w:rsid w:val="00A53917"/>
    <w:rsid w:val="00A554F0"/>
    <w:rsid w:val="00A55CE7"/>
    <w:rsid w:val="00A579C5"/>
    <w:rsid w:val="00A6154F"/>
    <w:rsid w:val="00A65255"/>
    <w:rsid w:val="00A655CA"/>
    <w:rsid w:val="00A66A43"/>
    <w:rsid w:val="00A70165"/>
    <w:rsid w:val="00A74D2A"/>
    <w:rsid w:val="00A75342"/>
    <w:rsid w:val="00A75963"/>
    <w:rsid w:val="00A759EB"/>
    <w:rsid w:val="00A76555"/>
    <w:rsid w:val="00A76A66"/>
    <w:rsid w:val="00A7733F"/>
    <w:rsid w:val="00A811C7"/>
    <w:rsid w:val="00A8133D"/>
    <w:rsid w:val="00A8150E"/>
    <w:rsid w:val="00A82A12"/>
    <w:rsid w:val="00A83BC7"/>
    <w:rsid w:val="00A85AEE"/>
    <w:rsid w:val="00A86549"/>
    <w:rsid w:val="00A901D7"/>
    <w:rsid w:val="00A91323"/>
    <w:rsid w:val="00A921EB"/>
    <w:rsid w:val="00A92EDD"/>
    <w:rsid w:val="00A944EF"/>
    <w:rsid w:val="00A95F39"/>
    <w:rsid w:val="00A967ED"/>
    <w:rsid w:val="00AA1172"/>
    <w:rsid w:val="00AA124D"/>
    <w:rsid w:val="00AA1A53"/>
    <w:rsid w:val="00AA56EA"/>
    <w:rsid w:val="00AA5F22"/>
    <w:rsid w:val="00AA63E3"/>
    <w:rsid w:val="00AB00F4"/>
    <w:rsid w:val="00AB05AB"/>
    <w:rsid w:val="00AB189C"/>
    <w:rsid w:val="00AB19B1"/>
    <w:rsid w:val="00AB393F"/>
    <w:rsid w:val="00AB3DDB"/>
    <w:rsid w:val="00AB5D22"/>
    <w:rsid w:val="00AC4260"/>
    <w:rsid w:val="00AC48FA"/>
    <w:rsid w:val="00AC5140"/>
    <w:rsid w:val="00AD0431"/>
    <w:rsid w:val="00AD2FA9"/>
    <w:rsid w:val="00AD428B"/>
    <w:rsid w:val="00AE0AD5"/>
    <w:rsid w:val="00AE1485"/>
    <w:rsid w:val="00AE1546"/>
    <w:rsid w:val="00AE1AE1"/>
    <w:rsid w:val="00AE1CFD"/>
    <w:rsid w:val="00AE264C"/>
    <w:rsid w:val="00AE3D2F"/>
    <w:rsid w:val="00AE48C2"/>
    <w:rsid w:val="00AE5C9E"/>
    <w:rsid w:val="00AE6F17"/>
    <w:rsid w:val="00AF1853"/>
    <w:rsid w:val="00AF1C62"/>
    <w:rsid w:val="00AF21E9"/>
    <w:rsid w:val="00AF2BB8"/>
    <w:rsid w:val="00AF3645"/>
    <w:rsid w:val="00B00DF3"/>
    <w:rsid w:val="00B022C3"/>
    <w:rsid w:val="00B02421"/>
    <w:rsid w:val="00B02C2D"/>
    <w:rsid w:val="00B047E0"/>
    <w:rsid w:val="00B0509E"/>
    <w:rsid w:val="00B053E4"/>
    <w:rsid w:val="00B06F93"/>
    <w:rsid w:val="00B07955"/>
    <w:rsid w:val="00B10287"/>
    <w:rsid w:val="00B11041"/>
    <w:rsid w:val="00B16C33"/>
    <w:rsid w:val="00B170EC"/>
    <w:rsid w:val="00B176E9"/>
    <w:rsid w:val="00B218CF"/>
    <w:rsid w:val="00B21CB2"/>
    <w:rsid w:val="00B23696"/>
    <w:rsid w:val="00B2407B"/>
    <w:rsid w:val="00B25986"/>
    <w:rsid w:val="00B27A7B"/>
    <w:rsid w:val="00B34A85"/>
    <w:rsid w:val="00B40EFA"/>
    <w:rsid w:val="00B411A4"/>
    <w:rsid w:val="00B43819"/>
    <w:rsid w:val="00B43CF3"/>
    <w:rsid w:val="00B44C78"/>
    <w:rsid w:val="00B4537F"/>
    <w:rsid w:val="00B45BBA"/>
    <w:rsid w:val="00B461C0"/>
    <w:rsid w:val="00B46864"/>
    <w:rsid w:val="00B471FC"/>
    <w:rsid w:val="00B47B21"/>
    <w:rsid w:val="00B5137C"/>
    <w:rsid w:val="00B54573"/>
    <w:rsid w:val="00B56C1B"/>
    <w:rsid w:val="00B5734A"/>
    <w:rsid w:val="00B615F2"/>
    <w:rsid w:val="00B63282"/>
    <w:rsid w:val="00B63741"/>
    <w:rsid w:val="00B660D5"/>
    <w:rsid w:val="00B66C97"/>
    <w:rsid w:val="00B6780A"/>
    <w:rsid w:val="00B71932"/>
    <w:rsid w:val="00B72EE8"/>
    <w:rsid w:val="00B74B97"/>
    <w:rsid w:val="00B764CA"/>
    <w:rsid w:val="00B76ACD"/>
    <w:rsid w:val="00B76EBB"/>
    <w:rsid w:val="00B77427"/>
    <w:rsid w:val="00B80057"/>
    <w:rsid w:val="00B81171"/>
    <w:rsid w:val="00B8537C"/>
    <w:rsid w:val="00B85C6D"/>
    <w:rsid w:val="00B86F92"/>
    <w:rsid w:val="00B9365D"/>
    <w:rsid w:val="00B942E1"/>
    <w:rsid w:val="00B97020"/>
    <w:rsid w:val="00BA0B42"/>
    <w:rsid w:val="00BA0D5A"/>
    <w:rsid w:val="00BA1D77"/>
    <w:rsid w:val="00BB2CB8"/>
    <w:rsid w:val="00BB3990"/>
    <w:rsid w:val="00BB4A5A"/>
    <w:rsid w:val="00BB56D1"/>
    <w:rsid w:val="00BB5B59"/>
    <w:rsid w:val="00BC07CF"/>
    <w:rsid w:val="00BC16DE"/>
    <w:rsid w:val="00BC2332"/>
    <w:rsid w:val="00BC24FA"/>
    <w:rsid w:val="00BC44CB"/>
    <w:rsid w:val="00BC5BB2"/>
    <w:rsid w:val="00BC60B6"/>
    <w:rsid w:val="00BC6A7E"/>
    <w:rsid w:val="00BD03AF"/>
    <w:rsid w:val="00BD085B"/>
    <w:rsid w:val="00BD0B14"/>
    <w:rsid w:val="00BD4FDA"/>
    <w:rsid w:val="00BD5669"/>
    <w:rsid w:val="00BD5D52"/>
    <w:rsid w:val="00BD66D8"/>
    <w:rsid w:val="00BD7B9B"/>
    <w:rsid w:val="00BE22C8"/>
    <w:rsid w:val="00BE7F5B"/>
    <w:rsid w:val="00BF047D"/>
    <w:rsid w:val="00BF0AB5"/>
    <w:rsid w:val="00BF2A5D"/>
    <w:rsid w:val="00BF2E04"/>
    <w:rsid w:val="00BF34D6"/>
    <w:rsid w:val="00BF362B"/>
    <w:rsid w:val="00BF39A4"/>
    <w:rsid w:val="00BF445B"/>
    <w:rsid w:val="00BF4617"/>
    <w:rsid w:val="00BF56D9"/>
    <w:rsid w:val="00BF60B4"/>
    <w:rsid w:val="00BF6D74"/>
    <w:rsid w:val="00BF765A"/>
    <w:rsid w:val="00C00112"/>
    <w:rsid w:val="00C0132B"/>
    <w:rsid w:val="00C022B5"/>
    <w:rsid w:val="00C04C86"/>
    <w:rsid w:val="00C06DAA"/>
    <w:rsid w:val="00C07580"/>
    <w:rsid w:val="00C07804"/>
    <w:rsid w:val="00C07BBC"/>
    <w:rsid w:val="00C07FA4"/>
    <w:rsid w:val="00C10887"/>
    <w:rsid w:val="00C1221D"/>
    <w:rsid w:val="00C12800"/>
    <w:rsid w:val="00C13382"/>
    <w:rsid w:val="00C14585"/>
    <w:rsid w:val="00C155F8"/>
    <w:rsid w:val="00C15B03"/>
    <w:rsid w:val="00C174C5"/>
    <w:rsid w:val="00C20FC3"/>
    <w:rsid w:val="00C211C0"/>
    <w:rsid w:val="00C21620"/>
    <w:rsid w:val="00C22B0B"/>
    <w:rsid w:val="00C233CB"/>
    <w:rsid w:val="00C27071"/>
    <w:rsid w:val="00C30C0F"/>
    <w:rsid w:val="00C35938"/>
    <w:rsid w:val="00C376BD"/>
    <w:rsid w:val="00C439E3"/>
    <w:rsid w:val="00C440B8"/>
    <w:rsid w:val="00C44775"/>
    <w:rsid w:val="00C45D73"/>
    <w:rsid w:val="00C53657"/>
    <w:rsid w:val="00C561B2"/>
    <w:rsid w:val="00C56F26"/>
    <w:rsid w:val="00C60399"/>
    <w:rsid w:val="00C62D44"/>
    <w:rsid w:val="00C64785"/>
    <w:rsid w:val="00C65BC8"/>
    <w:rsid w:val="00C6742C"/>
    <w:rsid w:val="00C71A47"/>
    <w:rsid w:val="00C72086"/>
    <w:rsid w:val="00C76868"/>
    <w:rsid w:val="00C827E6"/>
    <w:rsid w:val="00C831B4"/>
    <w:rsid w:val="00C831F8"/>
    <w:rsid w:val="00C83F81"/>
    <w:rsid w:val="00C8671B"/>
    <w:rsid w:val="00C87F92"/>
    <w:rsid w:val="00C93CC0"/>
    <w:rsid w:val="00C93F63"/>
    <w:rsid w:val="00C951A9"/>
    <w:rsid w:val="00C955B6"/>
    <w:rsid w:val="00CA381B"/>
    <w:rsid w:val="00CA38E9"/>
    <w:rsid w:val="00CA4F67"/>
    <w:rsid w:val="00CA5210"/>
    <w:rsid w:val="00CA76DC"/>
    <w:rsid w:val="00CA76F4"/>
    <w:rsid w:val="00CB0B1D"/>
    <w:rsid w:val="00CB283F"/>
    <w:rsid w:val="00CB2C6A"/>
    <w:rsid w:val="00CB4C05"/>
    <w:rsid w:val="00CB506B"/>
    <w:rsid w:val="00CB524E"/>
    <w:rsid w:val="00CC04EB"/>
    <w:rsid w:val="00CC12E0"/>
    <w:rsid w:val="00CC2CAC"/>
    <w:rsid w:val="00CC636E"/>
    <w:rsid w:val="00CD0137"/>
    <w:rsid w:val="00CD02F3"/>
    <w:rsid w:val="00CD288C"/>
    <w:rsid w:val="00CD3306"/>
    <w:rsid w:val="00CD4CF3"/>
    <w:rsid w:val="00CD5550"/>
    <w:rsid w:val="00CE0576"/>
    <w:rsid w:val="00CE2021"/>
    <w:rsid w:val="00CE62E8"/>
    <w:rsid w:val="00CE67EF"/>
    <w:rsid w:val="00CE774B"/>
    <w:rsid w:val="00CF0A8B"/>
    <w:rsid w:val="00CF1C5C"/>
    <w:rsid w:val="00CF2A24"/>
    <w:rsid w:val="00CF2B4B"/>
    <w:rsid w:val="00CF37D4"/>
    <w:rsid w:val="00CF38F7"/>
    <w:rsid w:val="00CF45FA"/>
    <w:rsid w:val="00CF5212"/>
    <w:rsid w:val="00CF6D63"/>
    <w:rsid w:val="00CF7622"/>
    <w:rsid w:val="00CF790F"/>
    <w:rsid w:val="00CF7E0A"/>
    <w:rsid w:val="00D00098"/>
    <w:rsid w:val="00D00DC8"/>
    <w:rsid w:val="00D0196D"/>
    <w:rsid w:val="00D02DA5"/>
    <w:rsid w:val="00D0365B"/>
    <w:rsid w:val="00D03E33"/>
    <w:rsid w:val="00D0479E"/>
    <w:rsid w:val="00D06447"/>
    <w:rsid w:val="00D1250E"/>
    <w:rsid w:val="00D12CE0"/>
    <w:rsid w:val="00D16AE8"/>
    <w:rsid w:val="00D17500"/>
    <w:rsid w:val="00D21B50"/>
    <w:rsid w:val="00D2201F"/>
    <w:rsid w:val="00D23340"/>
    <w:rsid w:val="00D2366B"/>
    <w:rsid w:val="00D34C74"/>
    <w:rsid w:val="00D36E95"/>
    <w:rsid w:val="00D423F6"/>
    <w:rsid w:val="00D42A88"/>
    <w:rsid w:val="00D42C38"/>
    <w:rsid w:val="00D43C03"/>
    <w:rsid w:val="00D44F77"/>
    <w:rsid w:val="00D4515D"/>
    <w:rsid w:val="00D46514"/>
    <w:rsid w:val="00D50DC4"/>
    <w:rsid w:val="00D512B4"/>
    <w:rsid w:val="00D51A9A"/>
    <w:rsid w:val="00D520E5"/>
    <w:rsid w:val="00D53496"/>
    <w:rsid w:val="00D539B6"/>
    <w:rsid w:val="00D55278"/>
    <w:rsid w:val="00D600B4"/>
    <w:rsid w:val="00D61AF9"/>
    <w:rsid w:val="00D63531"/>
    <w:rsid w:val="00D64278"/>
    <w:rsid w:val="00D645F2"/>
    <w:rsid w:val="00D651A6"/>
    <w:rsid w:val="00D67312"/>
    <w:rsid w:val="00D67403"/>
    <w:rsid w:val="00D70568"/>
    <w:rsid w:val="00D71260"/>
    <w:rsid w:val="00D720B3"/>
    <w:rsid w:val="00D725AE"/>
    <w:rsid w:val="00D72886"/>
    <w:rsid w:val="00D73A7E"/>
    <w:rsid w:val="00D73BF4"/>
    <w:rsid w:val="00D7428D"/>
    <w:rsid w:val="00D75040"/>
    <w:rsid w:val="00D75A0F"/>
    <w:rsid w:val="00D829FB"/>
    <w:rsid w:val="00D8417D"/>
    <w:rsid w:val="00D8428B"/>
    <w:rsid w:val="00D8495F"/>
    <w:rsid w:val="00D922F7"/>
    <w:rsid w:val="00D925C9"/>
    <w:rsid w:val="00D95854"/>
    <w:rsid w:val="00D96A0A"/>
    <w:rsid w:val="00DA1471"/>
    <w:rsid w:val="00DA147F"/>
    <w:rsid w:val="00DA387F"/>
    <w:rsid w:val="00DA538D"/>
    <w:rsid w:val="00DA6BDC"/>
    <w:rsid w:val="00DA6D82"/>
    <w:rsid w:val="00DA7A9A"/>
    <w:rsid w:val="00DA7DA9"/>
    <w:rsid w:val="00DB13E9"/>
    <w:rsid w:val="00DB2498"/>
    <w:rsid w:val="00DB3578"/>
    <w:rsid w:val="00DB43B2"/>
    <w:rsid w:val="00DB503D"/>
    <w:rsid w:val="00DB561F"/>
    <w:rsid w:val="00DB5CD3"/>
    <w:rsid w:val="00DB6046"/>
    <w:rsid w:val="00DB68FC"/>
    <w:rsid w:val="00DB691C"/>
    <w:rsid w:val="00DB742C"/>
    <w:rsid w:val="00DB7474"/>
    <w:rsid w:val="00DB74A3"/>
    <w:rsid w:val="00DC1855"/>
    <w:rsid w:val="00DC23F0"/>
    <w:rsid w:val="00DC38C8"/>
    <w:rsid w:val="00DC4678"/>
    <w:rsid w:val="00DC7DDD"/>
    <w:rsid w:val="00DD472A"/>
    <w:rsid w:val="00DD69FE"/>
    <w:rsid w:val="00DD7948"/>
    <w:rsid w:val="00DE2313"/>
    <w:rsid w:val="00DE2DC0"/>
    <w:rsid w:val="00DE4EA3"/>
    <w:rsid w:val="00DF4B06"/>
    <w:rsid w:val="00DF5CCC"/>
    <w:rsid w:val="00E004D5"/>
    <w:rsid w:val="00E00D83"/>
    <w:rsid w:val="00E0127F"/>
    <w:rsid w:val="00E01598"/>
    <w:rsid w:val="00E01806"/>
    <w:rsid w:val="00E04CFA"/>
    <w:rsid w:val="00E04F23"/>
    <w:rsid w:val="00E1058B"/>
    <w:rsid w:val="00E10FE9"/>
    <w:rsid w:val="00E11634"/>
    <w:rsid w:val="00E13ED9"/>
    <w:rsid w:val="00E16CF5"/>
    <w:rsid w:val="00E2061C"/>
    <w:rsid w:val="00E20D44"/>
    <w:rsid w:val="00E212C8"/>
    <w:rsid w:val="00E222D2"/>
    <w:rsid w:val="00E235B0"/>
    <w:rsid w:val="00E24405"/>
    <w:rsid w:val="00E2498A"/>
    <w:rsid w:val="00E25CC5"/>
    <w:rsid w:val="00E2779C"/>
    <w:rsid w:val="00E30AF0"/>
    <w:rsid w:val="00E30D13"/>
    <w:rsid w:val="00E31682"/>
    <w:rsid w:val="00E32B97"/>
    <w:rsid w:val="00E3392D"/>
    <w:rsid w:val="00E34A49"/>
    <w:rsid w:val="00E362AB"/>
    <w:rsid w:val="00E36396"/>
    <w:rsid w:val="00E42193"/>
    <w:rsid w:val="00E442BB"/>
    <w:rsid w:val="00E465E6"/>
    <w:rsid w:val="00E47E79"/>
    <w:rsid w:val="00E513D1"/>
    <w:rsid w:val="00E52B03"/>
    <w:rsid w:val="00E52C9E"/>
    <w:rsid w:val="00E60E9F"/>
    <w:rsid w:val="00E6131A"/>
    <w:rsid w:val="00E6298B"/>
    <w:rsid w:val="00E639C5"/>
    <w:rsid w:val="00E63D2E"/>
    <w:rsid w:val="00E64FA9"/>
    <w:rsid w:val="00E6529D"/>
    <w:rsid w:val="00E65ACC"/>
    <w:rsid w:val="00E66802"/>
    <w:rsid w:val="00E66CA5"/>
    <w:rsid w:val="00E70ED4"/>
    <w:rsid w:val="00E7407D"/>
    <w:rsid w:val="00E762CE"/>
    <w:rsid w:val="00E801E5"/>
    <w:rsid w:val="00E83943"/>
    <w:rsid w:val="00E83B12"/>
    <w:rsid w:val="00E8402E"/>
    <w:rsid w:val="00E8783C"/>
    <w:rsid w:val="00E93A0C"/>
    <w:rsid w:val="00E93EFE"/>
    <w:rsid w:val="00E944A2"/>
    <w:rsid w:val="00E958F3"/>
    <w:rsid w:val="00E95CDA"/>
    <w:rsid w:val="00E97C28"/>
    <w:rsid w:val="00E97ED5"/>
    <w:rsid w:val="00EA07B1"/>
    <w:rsid w:val="00EA10AB"/>
    <w:rsid w:val="00EA14D2"/>
    <w:rsid w:val="00EA201D"/>
    <w:rsid w:val="00EA3973"/>
    <w:rsid w:val="00EB1683"/>
    <w:rsid w:val="00EB1963"/>
    <w:rsid w:val="00EB4788"/>
    <w:rsid w:val="00EB769F"/>
    <w:rsid w:val="00EC07F0"/>
    <w:rsid w:val="00EC39BC"/>
    <w:rsid w:val="00EC5B7E"/>
    <w:rsid w:val="00EC7558"/>
    <w:rsid w:val="00ED08DC"/>
    <w:rsid w:val="00ED0C27"/>
    <w:rsid w:val="00ED534B"/>
    <w:rsid w:val="00ED77E4"/>
    <w:rsid w:val="00EE2D4C"/>
    <w:rsid w:val="00EE3788"/>
    <w:rsid w:val="00EE5C71"/>
    <w:rsid w:val="00EF6478"/>
    <w:rsid w:val="00EF6F89"/>
    <w:rsid w:val="00F01754"/>
    <w:rsid w:val="00F065F6"/>
    <w:rsid w:val="00F075FA"/>
    <w:rsid w:val="00F07BD5"/>
    <w:rsid w:val="00F11BAE"/>
    <w:rsid w:val="00F13E45"/>
    <w:rsid w:val="00F15692"/>
    <w:rsid w:val="00F20253"/>
    <w:rsid w:val="00F23DC3"/>
    <w:rsid w:val="00F251B4"/>
    <w:rsid w:val="00F2613A"/>
    <w:rsid w:val="00F2682A"/>
    <w:rsid w:val="00F26885"/>
    <w:rsid w:val="00F2755C"/>
    <w:rsid w:val="00F310CE"/>
    <w:rsid w:val="00F35911"/>
    <w:rsid w:val="00F37C64"/>
    <w:rsid w:val="00F37E98"/>
    <w:rsid w:val="00F401B0"/>
    <w:rsid w:val="00F4146A"/>
    <w:rsid w:val="00F41932"/>
    <w:rsid w:val="00F42797"/>
    <w:rsid w:val="00F43BC8"/>
    <w:rsid w:val="00F44B4E"/>
    <w:rsid w:val="00F4552C"/>
    <w:rsid w:val="00F46113"/>
    <w:rsid w:val="00F461EC"/>
    <w:rsid w:val="00F4713E"/>
    <w:rsid w:val="00F52308"/>
    <w:rsid w:val="00F524B4"/>
    <w:rsid w:val="00F53942"/>
    <w:rsid w:val="00F53B3A"/>
    <w:rsid w:val="00F5434A"/>
    <w:rsid w:val="00F552BD"/>
    <w:rsid w:val="00F5771F"/>
    <w:rsid w:val="00F6118A"/>
    <w:rsid w:val="00F620D4"/>
    <w:rsid w:val="00F625F3"/>
    <w:rsid w:val="00F6375A"/>
    <w:rsid w:val="00F63DC9"/>
    <w:rsid w:val="00F644AF"/>
    <w:rsid w:val="00F6467E"/>
    <w:rsid w:val="00F67540"/>
    <w:rsid w:val="00F717E6"/>
    <w:rsid w:val="00F71E12"/>
    <w:rsid w:val="00F72087"/>
    <w:rsid w:val="00F73EB0"/>
    <w:rsid w:val="00F73F42"/>
    <w:rsid w:val="00F73F56"/>
    <w:rsid w:val="00F74A44"/>
    <w:rsid w:val="00F74D98"/>
    <w:rsid w:val="00F80D29"/>
    <w:rsid w:val="00F8207A"/>
    <w:rsid w:val="00F83D1B"/>
    <w:rsid w:val="00F84010"/>
    <w:rsid w:val="00F842F7"/>
    <w:rsid w:val="00F8463D"/>
    <w:rsid w:val="00F8575A"/>
    <w:rsid w:val="00F85D83"/>
    <w:rsid w:val="00F864FE"/>
    <w:rsid w:val="00F90BE4"/>
    <w:rsid w:val="00F91A3D"/>
    <w:rsid w:val="00F92E4E"/>
    <w:rsid w:val="00F946CD"/>
    <w:rsid w:val="00F9613D"/>
    <w:rsid w:val="00F97763"/>
    <w:rsid w:val="00FA161E"/>
    <w:rsid w:val="00FA2817"/>
    <w:rsid w:val="00FA29D5"/>
    <w:rsid w:val="00FA36DC"/>
    <w:rsid w:val="00FA40F7"/>
    <w:rsid w:val="00FA509D"/>
    <w:rsid w:val="00FA674E"/>
    <w:rsid w:val="00FA76DD"/>
    <w:rsid w:val="00FB057E"/>
    <w:rsid w:val="00FB0EBF"/>
    <w:rsid w:val="00FB1A72"/>
    <w:rsid w:val="00FB2AC4"/>
    <w:rsid w:val="00FB2DF6"/>
    <w:rsid w:val="00FB60B9"/>
    <w:rsid w:val="00FB673B"/>
    <w:rsid w:val="00FC245A"/>
    <w:rsid w:val="00FC30E5"/>
    <w:rsid w:val="00FC58DE"/>
    <w:rsid w:val="00FC6462"/>
    <w:rsid w:val="00FC6D7E"/>
    <w:rsid w:val="00FC7092"/>
    <w:rsid w:val="00FD05E8"/>
    <w:rsid w:val="00FD2FBC"/>
    <w:rsid w:val="00FD42D3"/>
    <w:rsid w:val="00FD44E4"/>
    <w:rsid w:val="00FD53EB"/>
    <w:rsid w:val="00FD5B19"/>
    <w:rsid w:val="00FD5F28"/>
    <w:rsid w:val="00FD7BD2"/>
    <w:rsid w:val="00FE3D9A"/>
    <w:rsid w:val="00FE4424"/>
    <w:rsid w:val="00FE4FDA"/>
    <w:rsid w:val="00FF05E3"/>
    <w:rsid w:val="00FF1A42"/>
    <w:rsid w:val="00FF2807"/>
    <w:rsid w:val="00FF280E"/>
    <w:rsid w:val="00FF2C96"/>
    <w:rsid w:val="00FF4745"/>
    <w:rsid w:val="00FF4D33"/>
    <w:rsid w:val="00FF66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F835"/>
  <w15:docId w15:val="{BE138591-0583-49DA-A636-F2FDC76F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13E"/>
    <w:rPr>
      <w:sz w:val="22"/>
      <w:szCs w:val="22"/>
      <w:lang w:eastAsia="en-US"/>
    </w:rPr>
  </w:style>
  <w:style w:type="paragraph" w:styleId="Heading1">
    <w:name w:val="heading 1"/>
    <w:basedOn w:val="Normal"/>
    <w:next w:val="Normal"/>
    <w:link w:val="Heading1Char"/>
    <w:uiPriority w:val="9"/>
    <w:qFormat/>
    <w:rsid w:val="007104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74B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BodyText"/>
    <w:link w:val="Heading4Char"/>
    <w:semiHidden/>
    <w:unhideWhenUsed/>
    <w:qFormat/>
    <w:rsid w:val="00E31682"/>
    <w:pPr>
      <w:keepNext/>
      <w:tabs>
        <w:tab w:val="num" w:pos="864"/>
      </w:tabs>
      <w:suppressAutoHyphens/>
      <w:spacing w:after="240"/>
      <w:ind w:left="864" w:hanging="864"/>
      <w:jc w:val="center"/>
      <w:outlineLvl w:val="3"/>
    </w:pPr>
    <w:rPr>
      <w:rFonts w:ascii="Arial" w:eastAsia="Times New Roman" w:hAnsi="Arial" w:cs="Arial"/>
      <w:b/>
      <w:bCs/>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713E"/>
    <w:rPr>
      <w:color w:val="0000FF"/>
      <w:u w:val="single"/>
    </w:rPr>
  </w:style>
  <w:style w:type="character" w:customStyle="1" w:styleId="apple-converted-space">
    <w:name w:val="apple-converted-space"/>
    <w:basedOn w:val="DefaultParagraphFont"/>
    <w:rsid w:val="00F4713E"/>
  </w:style>
  <w:style w:type="character" w:styleId="Emphasis">
    <w:name w:val="Emphasis"/>
    <w:uiPriority w:val="20"/>
    <w:qFormat/>
    <w:rsid w:val="00F4713E"/>
    <w:rPr>
      <w:i/>
      <w:iCs/>
    </w:rPr>
  </w:style>
  <w:style w:type="paragraph" w:styleId="NormalWeb">
    <w:name w:val="Normal (Web)"/>
    <w:basedOn w:val="Normal"/>
    <w:uiPriority w:val="99"/>
    <w:unhideWhenUsed/>
    <w:rsid w:val="00752D91"/>
    <w:pPr>
      <w:spacing w:before="100" w:beforeAutospacing="1" w:after="100" w:afterAutospacing="1"/>
    </w:pPr>
    <w:rPr>
      <w:rFonts w:ascii="Times New Roman" w:eastAsia="Times New Roman" w:hAnsi="Times New Roman"/>
      <w:sz w:val="24"/>
      <w:szCs w:val="24"/>
      <w:lang w:eastAsia="en-CA"/>
    </w:rPr>
  </w:style>
  <w:style w:type="paragraph" w:styleId="BalloonText">
    <w:name w:val="Balloon Text"/>
    <w:basedOn w:val="Normal"/>
    <w:link w:val="BalloonTextChar"/>
    <w:uiPriority w:val="99"/>
    <w:semiHidden/>
    <w:unhideWhenUsed/>
    <w:rsid w:val="000B49C5"/>
    <w:rPr>
      <w:rFonts w:ascii="Segoe UI" w:hAnsi="Segoe UI" w:cs="Segoe UI"/>
      <w:sz w:val="18"/>
      <w:szCs w:val="18"/>
    </w:rPr>
  </w:style>
  <w:style w:type="character" w:customStyle="1" w:styleId="BalloonTextChar">
    <w:name w:val="Balloon Text Char"/>
    <w:link w:val="BalloonText"/>
    <w:uiPriority w:val="99"/>
    <w:semiHidden/>
    <w:rsid w:val="000B49C5"/>
    <w:rPr>
      <w:rFonts w:ascii="Segoe UI" w:hAnsi="Segoe UI" w:cs="Segoe UI"/>
      <w:sz w:val="18"/>
      <w:szCs w:val="18"/>
    </w:rPr>
  </w:style>
  <w:style w:type="paragraph" w:styleId="Header">
    <w:name w:val="header"/>
    <w:basedOn w:val="Normal"/>
    <w:link w:val="HeaderChar"/>
    <w:uiPriority w:val="99"/>
    <w:unhideWhenUsed/>
    <w:rsid w:val="00805D46"/>
    <w:pPr>
      <w:tabs>
        <w:tab w:val="center" w:pos="4680"/>
        <w:tab w:val="right" w:pos="9360"/>
      </w:tabs>
    </w:pPr>
  </w:style>
  <w:style w:type="character" w:customStyle="1" w:styleId="HeaderChar">
    <w:name w:val="Header Char"/>
    <w:basedOn w:val="DefaultParagraphFont"/>
    <w:link w:val="Header"/>
    <w:uiPriority w:val="99"/>
    <w:rsid w:val="00805D46"/>
  </w:style>
  <w:style w:type="paragraph" w:styleId="Footer">
    <w:name w:val="footer"/>
    <w:basedOn w:val="Normal"/>
    <w:link w:val="FooterChar"/>
    <w:uiPriority w:val="99"/>
    <w:unhideWhenUsed/>
    <w:rsid w:val="00805D46"/>
    <w:pPr>
      <w:tabs>
        <w:tab w:val="center" w:pos="4680"/>
        <w:tab w:val="right" w:pos="9360"/>
      </w:tabs>
    </w:pPr>
  </w:style>
  <w:style w:type="character" w:customStyle="1" w:styleId="FooterChar">
    <w:name w:val="Footer Char"/>
    <w:basedOn w:val="DefaultParagraphFont"/>
    <w:link w:val="Footer"/>
    <w:uiPriority w:val="99"/>
    <w:rsid w:val="00805D46"/>
  </w:style>
  <w:style w:type="table" w:styleId="TableGrid">
    <w:name w:val="Table Grid"/>
    <w:basedOn w:val="TableNormal"/>
    <w:uiPriority w:val="39"/>
    <w:rsid w:val="00844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B60"/>
    <w:pPr>
      <w:ind w:left="720"/>
      <w:contextualSpacing/>
    </w:pPr>
  </w:style>
  <w:style w:type="character" w:styleId="CommentReference">
    <w:name w:val="annotation reference"/>
    <w:uiPriority w:val="99"/>
    <w:semiHidden/>
    <w:unhideWhenUsed/>
    <w:rsid w:val="00577C6B"/>
    <w:rPr>
      <w:sz w:val="16"/>
      <w:szCs w:val="16"/>
    </w:rPr>
  </w:style>
  <w:style w:type="paragraph" w:styleId="CommentText">
    <w:name w:val="annotation text"/>
    <w:basedOn w:val="Normal"/>
    <w:link w:val="CommentTextChar"/>
    <w:uiPriority w:val="99"/>
    <w:semiHidden/>
    <w:unhideWhenUsed/>
    <w:rsid w:val="00577C6B"/>
    <w:rPr>
      <w:sz w:val="20"/>
      <w:szCs w:val="20"/>
    </w:rPr>
  </w:style>
  <w:style w:type="character" w:customStyle="1" w:styleId="CommentTextChar">
    <w:name w:val="Comment Text Char"/>
    <w:link w:val="CommentText"/>
    <w:uiPriority w:val="99"/>
    <w:semiHidden/>
    <w:rsid w:val="00577C6B"/>
    <w:rPr>
      <w:sz w:val="20"/>
      <w:szCs w:val="20"/>
    </w:rPr>
  </w:style>
  <w:style w:type="paragraph" w:styleId="CommentSubject">
    <w:name w:val="annotation subject"/>
    <w:basedOn w:val="CommentText"/>
    <w:next w:val="CommentText"/>
    <w:link w:val="CommentSubjectChar"/>
    <w:uiPriority w:val="99"/>
    <w:semiHidden/>
    <w:unhideWhenUsed/>
    <w:rsid w:val="00577C6B"/>
    <w:rPr>
      <w:b/>
      <w:bCs/>
    </w:rPr>
  </w:style>
  <w:style w:type="character" w:customStyle="1" w:styleId="CommentSubjectChar">
    <w:name w:val="Comment Subject Char"/>
    <w:link w:val="CommentSubject"/>
    <w:uiPriority w:val="99"/>
    <w:semiHidden/>
    <w:rsid w:val="00577C6B"/>
    <w:rPr>
      <w:b/>
      <w:bCs/>
      <w:sz w:val="20"/>
      <w:szCs w:val="20"/>
    </w:rPr>
  </w:style>
  <w:style w:type="character" w:styleId="Strong">
    <w:name w:val="Strong"/>
    <w:uiPriority w:val="22"/>
    <w:qFormat/>
    <w:rsid w:val="009E068E"/>
    <w:rPr>
      <w:b/>
      <w:bCs/>
    </w:rPr>
  </w:style>
  <w:style w:type="paragraph" w:styleId="Quote">
    <w:name w:val="Quote"/>
    <w:basedOn w:val="Normal"/>
    <w:next w:val="Normal"/>
    <w:link w:val="QuoteChar"/>
    <w:uiPriority w:val="29"/>
    <w:qFormat/>
    <w:rsid w:val="009E068E"/>
    <w:pPr>
      <w:spacing w:before="200" w:after="160"/>
      <w:ind w:left="864" w:right="864"/>
      <w:jc w:val="center"/>
    </w:pPr>
    <w:rPr>
      <w:i/>
      <w:iCs/>
      <w:color w:val="404040"/>
    </w:rPr>
  </w:style>
  <w:style w:type="character" w:customStyle="1" w:styleId="QuoteChar">
    <w:name w:val="Quote Char"/>
    <w:link w:val="Quote"/>
    <w:uiPriority w:val="29"/>
    <w:rsid w:val="009E068E"/>
    <w:rPr>
      <w:i/>
      <w:iCs/>
      <w:color w:val="404040"/>
    </w:rPr>
  </w:style>
  <w:style w:type="character" w:customStyle="1" w:styleId="rednote1">
    <w:name w:val="rednote1"/>
    <w:rsid w:val="009A109B"/>
    <w:rPr>
      <w:b/>
      <w:bCs/>
      <w:color w:val="84080E"/>
    </w:rPr>
  </w:style>
  <w:style w:type="character" w:customStyle="1" w:styleId="xn-money">
    <w:name w:val="xn-money"/>
    <w:basedOn w:val="DefaultParagraphFont"/>
    <w:rsid w:val="00A264DD"/>
  </w:style>
  <w:style w:type="character" w:customStyle="1" w:styleId="Heading4Char">
    <w:name w:val="Heading 4 Char"/>
    <w:link w:val="Heading4"/>
    <w:semiHidden/>
    <w:rsid w:val="00E31682"/>
    <w:rPr>
      <w:rFonts w:ascii="Arial" w:eastAsia="Times New Roman" w:hAnsi="Arial" w:cs="Arial"/>
      <w:b/>
      <w:bCs/>
      <w:color w:val="000000"/>
      <w:kern w:val="2"/>
      <w:sz w:val="24"/>
      <w:szCs w:val="24"/>
      <w:lang w:eastAsia="ar-SA"/>
    </w:rPr>
  </w:style>
  <w:style w:type="paragraph" w:styleId="BodyText">
    <w:name w:val="Body Text"/>
    <w:basedOn w:val="Normal"/>
    <w:link w:val="BodyTextChar"/>
    <w:uiPriority w:val="99"/>
    <w:semiHidden/>
    <w:unhideWhenUsed/>
    <w:rsid w:val="00E31682"/>
    <w:pPr>
      <w:spacing w:after="120"/>
    </w:pPr>
  </w:style>
  <w:style w:type="character" w:customStyle="1" w:styleId="BodyTextChar">
    <w:name w:val="Body Text Char"/>
    <w:basedOn w:val="DefaultParagraphFont"/>
    <w:link w:val="BodyText"/>
    <w:uiPriority w:val="99"/>
    <w:semiHidden/>
    <w:rsid w:val="00E31682"/>
  </w:style>
  <w:style w:type="paragraph" w:customStyle="1" w:styleId="CM4">
    <w:name w:val="CM4"/>
    <w:basedOn w:val="Normal"/>
    <w:next w:val="Normal"/>
    <w:rsid w:val="00B80057"/>
    <w:pPr>
      <w:widowControl w:val="0"/>
      <w:autoSpaceDE w:val="0"/>
      <w:autoSpaceDN w:val="0"/>
      <w:adjustRightInd w:val="0"/>
    </w:pPr>
    <w:rPr>
      <w:rFonts w:ascii="Times New Roman" w:eastAsia="Times New Roman" w:hAnsi="Times New Roman"/>
      <w:sz w:val="24"/>
      <w:szCs w:val="24"/>
      <w:lang w:eastAsia="en-CA"/>
    </w:rPr>
  </w:style>
  <w:style w:type="character" w:customStyle="1" w:styleId="Heading1Char">
    <w:name w:val="Heading 1 Char"/>
    <w:basedOn w:val="DefaultParagraphFont"/>
    <w:link w:val="Heading1"/>
    <w:uiPriority w:val="9"/>
    <w:rsid w:val="00710472"/>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B74B97"/>
    <w:rPr>
      <w:rFonts w:asciiTheme="majorHAnsi" w:eastAsiaTheme="majorEastAsia" w:hAnsiTheme="majorHAnsi" w:cstheme="majorBidi"/>
      <w:color w:val="2F5496" w:themeColor="accent1" w:themeShade="BF"/>
      <w:sz w:val="26"/>
      <w:szCs w:val="26"/>
      <w:lang w:eastAsia="en-US"/>
    </w:rPr>
  </w:style>
  <w:style w:type="character" w:customStyle="1" w:styleId="UnresolvedMention1">
    <w:name w:val="Unresolved Mention1"/>
    <w:basedOn w:val="DefaultParagraphFont"/>
    <w:uiPriority w:val="99"/>
    <w:semiHidden/>
    <w:unhideWhenUsed/>
    <w:rsid w:val="005566CD"/>
    <w:rPr>
      <w:color w:val="605E5C"/>
      <w:shd w:val="clear" w:color="auto" w:fill="E1DFDD"/>
    </w:rPr>
  </w:style>
  <w:style w:type="paragraph" w:styleId="Caption">
    <w:name w:val="caption"/>
    <w:basedOn w:val="Normal"/>
    <w:next w:val="Normal"/>
    <w:link w:val="CaptionChar"/>
    <w:unhideWhenUsed/>
    <w:qFormat/>
    <w:rsid w:val="00D72886"/>
    <w:pPr>
      <w:tabs>
        <w:tab w:val="left" w:pos="1134"/>
      </w:tabs>
      <w:spacing w:after="200" w:line="276" w:lineRule="auto"/>
      <w:jc w:val="center"/>
    </w:pPr>
    <w:rPr>
      <w:rFonts w:ascii="Arial" w:hAnsi="Arial"/>
      <w:b/>
      <w:bCs/>
      <w:szCs w:val="18"/>
      <w:lang w:val="en-GB"/>
    </w:rPr>
  </w:style>
  <w:style w:type="character" w:customStyle="1" w:styleId="CaptionChar">
    <w:name w:val="Caption Char"/>
    <w:link w:val="Caption"/>
    <w:rsid w:val="00D72886"/>
    <w:rPr>
      <w:rFonts w:ascii="Arial" w:hAnsi="Arial"/>
      <w:b/>
      <w:bCs/>
      <w:sz w:val="22"/>
      <w:szCs w:val="18"/>
      <w:lang w:val="en-GB" w:eastAsia="en-US"/>
    </w:rPr>
  </w:style>
  <w:style w:type="paragraph" w:styleId="HTMLPreformatted">
    <w:name w:val="HTML Preformatted"/>
    <w:basedOn w:val="Normal"/>
    <w:link w:val="HTMLPreformattedChar"/>
    <w:uiPriority w:val="99"/>
    <w:rsid w:val="00C8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87F92"/>
    <w:rPr>
      <w:rFonts w:ascii="Courier New" w:eastAsia="Times New Roman" w:hAnsi="Courier New" w:cs="Courier New"/>
      <w:lang w:val="en-US" w:eastAsia="en-US"/>
    </w:rPr>
  </w:style>
  <w:style w:type="table" w:customStyle="1" w:styleId="SENETTable1">
    <w:name w:val="SENET Table 1"/>
    <w:basedOn w:val="TableNormal"/>
    <w:uiPriority w:val="99"/>
    <w:rsid w:val="00A32913"/>
    <w:pPr>
      <w:spacing w:before="40" w:after="40" w:line="276" w:lineRule="auto"/>
      <w:jc w:val="center"/>
    </w:pPr>
    <w:rPr>
      <w:rFonts w:ascii="Arial" w:eastAsiaTheme="minorHAnsi" w:hAnsi="Arial" w:cstheme="minorBidi"/>
      <w:sz w:val="18"/>
      <w:szCs w:val="22"/>
      <w:lang w:val="en-US"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shd w:val="clear" w:color="auto" w:fill="FFFFFF"/>
      <w:vAlign w:val="center"/>
    </w:tcPr>
    <w:tblStylePr w:type="firstRow">
      <w:pPr>
        <w:jc w:val="center"/>
      </w:pPr>
      <w:rPr>
        <w:rFonts w:ascii="Arial" w:hAnsi="Arial"/>
        <w:b/>
        <w:color w:val="FFFFFF"/>
        <w:sz w:val="18"/>
      </w:rPr>
      <w:tblPr/>
      <w:tcPr>
        <w:shd w:val="clear" w:color="auto" w:fill="272A64"/>
      </w:tcPr>
    </w:tblStylePr>
  </w:style>
  <w:style w:type="paragraph" w:customStyle="1" w:styleId="paragraph">
    <w:name w:val="paragraph"/>
    <w:basedOn w:val="Normal"/>
    <w:rsid w:val="00A32913"/>
    <w:pPr>
      <w:spacing w:before="100" w:beforeAutospacing="1" w:after="100" w:afterAutospacing="1"/>
    </w:pPr>
    <w:rPr>
      <w:rFonts w:ascii="Times New Roman" w:eastAsia="Times New Roman" w:hAnsi="Times New Roman"/>
      <w:sz w:val="24"/>
      <w:szCs w:val="24"/>
      <w:lang w:val="en-ZA" w:eastAsia="en-ZA"/>
    </w:rPr>
  </w:style>
  <w:style w:type="character" w:customStyle="1" w:styleId="normaltextrun">
    <w:name w:val="normaltextrun"/>
    <w:basedOn w:val="DefaultParagraphFont"/>
    <w:rsid w:val="00A32913"/>
  </w:style>
  <w:style w:type="character" w:customStyle="1" w:styleId="eop">
    <w:name w:val="eop"/>
    <w:basedOn w:val="DefaultParagraphFont"/>
    <w:rsid w:val="00A32913"/>
  </w:style>
  <w:style w:type="paragraph" w:customStyle="1" w:styleId="xmsocommenttext">
    <w:name w:val="x_msocommenttext"/>
    <w:basedOn w:val="Normal"/>
    <w:rsid w:val="009440B5"/>
    <w:rPr>
      <w:rFonts w:eastAsiaTheme="minorHAnsi" w:cs="Calibri"/>
      <w:sz w:val="20"/>
      <w:szCs w:val="20"/>
      <w:lang w:eastAsia="en-CA"/>
    </w:rPr>
  </w:style>
  <w:style w:type="paragraph" w:styleId="Revision">
    <w:name w:val="Revision"/>
    <w:hidden/>
    <w:uiPriority w:val="99"/>
    <w:semiHidden/>
    <w:rsid w:val="00E52C9E"/>
    <w:rPr>
      <w:sz w:val="22"/>
      <w:szCs w:val="22"/>
      <w:lang w:eastAsia="en-US"/>
    </w:rPr>
  </w:style>
  <w:style w:type="paragraph" w:styleId="FootnoteText">
    <w:name w:val="footnote text"/>
    <w:basedOn w:val="Normal"/>
    <w:link w:val="FootnoteTextChar"/>
    <w:uiPriority w:val="99"/>
    <w:semiHidden/>
    <w:unhideWhenUsed/>
    <w:rsid w:val="00091A24"/>
    <w:rPr>
      <w:sz w:val="20"/>
      <w:szCs w:val="20"/>
    </w:rPr>
  </w:style>
  <w:style w:type="character" w:customStyle="1" w:styleId="FootnoteTextChar">
    <w:name w:val="Footnote Text Char"/>
    <w:basedOn w:val="DefaultParagraphFont"/>
    <w:link w:val="FootnoteText"/>
    <w:uiPriority w:val="99"/>
    <w:semiHidden/>
    <w:rsid w:val="00091A24"/>
    <w:rPr>
      <w:lang w:eastAsia="en-US"/>
    </w:rPr>
  </w:style>
  <w:style w:type="character" w:styleId="FootnoteReference">
    <w:name w:val="footnote reference"/>
    <w:basedOn w:val="DefaultParagraphFont"/>
    <w:uiPriority w:val="99"/>
    <w:semiHidden/>
    <w:unhideWhenUsed/>
    <w:rsid w:val="00091A24"/>
    <w:rPr>
      <w:vertAlign w:val="superscript"/>
    </w:rPr>
  </w:style>
  <w:style w:type="paragraph" w:customStyle="1" w:styleId="xmsonormal">
    <w:name w:val="x_msonormal"/>
    <w:basedOn w:val="Normal"/>
    <w:rsid w:val="00CE62E8"/>
    <w:rPr>
      <w:rFonts w:eastAsiaTheme="minorHAns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685">
      <w:bodyDiv w:val="1"/>
      <w:marLeft w:val="0"/>
      <w:marRight w:val="0"/>
      <w:marTop w:val="0"/>
      <w:marBottom w:val="0"/>
      <w:divBdr>
        <w:top w:val="none" w:sz="0" w:space="0" w:color="auto"/>
        <w:left w:val="none" w:sz="0" w:space="0" w:color="auto"/>
        <w:bottom w:val="none" w:sz="0" w:space="0" w:color="auto"/>
        <w:right w:val="none" w:sz="0" w:space="0" w:color="auto"/>
      </w:divBdr>
    </w:div>
    <w:div w:id="193466448">
      <w:bodyDiv w:val="1"/>
      <w:marLeft w:val="0"/>
      <w:marRight w:val="0"/>
      <w:marTop w:val="0"/>
      <w:marBottom w:val="0"/>
      <w:divBdr>
        <w:top w:val="none" w:sz="0" w:space="0" w:color="auto"/>
        <w:left w:val="none" w:sz="0" w:space="0" w:color="auto"/>
        <w:bottom w:val="none" w:sz="0" w:space="0" w:color="auto"/>
        <w:right w:val="none" w:sz="0" w:space="0" w:color="auto"/>
      </w:divBdr>
    </w:div>
    <w:div w:id="233398471">
      <w:bodyDiv w:val="1"/>
      <w:marLeft w:val="0"/>
      <w:marRight w:val="0"/>
      <w:marTop w:val="0"/>
      <w:marBottom w:val="0"/>
      <w:divBdr>
        <w:top w:val="none" w:sz="0" w:space="0" w:color="auto"/>
        <w:left w:val="none" w:sz="0" w:space="0" w:color="auto"/>
        <w:bottom w:val="none" w:sz="0" w:space="0" w:color="auto"/>
        <w:right w:val="none" w:sz="0" w:space="0" w:color="auto"/>
      </w:divBdr>
    </w:div>
    <w:div w:id="322392634">
      <w:bodyDiv w:val="1"/>
      <w:marLeft w:val="0"/>
      <w:marRight w:val="0"/>
      <w:marTop w:val="0"/>
      <w:marBottom w:val="0"/>
      <w:divBdr>
        <w:top w:val="none" w:sz="0" w:space="0" w:color="auto"/>
        <w:left w:val="none" w:sz="0" w:space="0" w:color="auto"/>
        <w:bottom w:val="none" w:sz="0" w:space="0" w:color="auto"/>
        <w:right w:val="none" w:sz="0" w:space="0" w:color="auto"/>
      </w:divBdr>
    </w:div>
    <w:div w:id="326134230">
      <w:bodyDiv w:val="1"/>
      <w:marLeft w:val="0"/>
      <w:marRight w:val="0"/>
      <w:marTop w:val="0"/>
      <w:marBottom w:val="0"/>
      <w:divBdr>
        <w:top w:val="none" w:sz="0" w:space="0" w:color="auto"/>
        <w:left w:val="none" w:sz="0" w:space="0" w:color="auto"/>
        <w:bottom w:val="none" w:sz="0" w:space="0" w:color="auto"/>
        <w:right w:val="none" w:sz="0" w:space="0" w:color="auto"/>
      </w:divBdr>
    </w:div>
    <w:div w:id="377556874">
      <w:bodyDiv w:val="1"/>
      <w:marLeft w:val="0"/>
      <w:marRight w:val="0"/>
      <w:marTop w:val="0"/>
      <w:marBottom w:val="0"/>
      <w:divBdr>
        <w:top w:val="none" w:sz="0" w:space="0" w:color="auto"/>
        <w:left w:val="none" w:sz="0" w:space="0" w:color="auto"/>
        <w:bottom w:val="none" w:sz="0" w:space="0" w:color="auto"/>
        <w:right w:val="none" w:sz="0" w:space="0" w:color="auto"/>
      </w:divBdr>
    </w:div>
    <w:div w:id="433475846">
      <w:bodyDiv w:val="1"/>
      <w:marLeft w:val="0"/>
      <w:marRight w:val="0"/>
      <w:marTop w:val="0"/>
      <w:marBottom w:val="0"/>
      <w:divBdr>
        <w:top w:val="none" w:sz="0" w:space="0" w:color="auto"/>
        <w:left w:val="none" w:sz="0" w:space="0" w:color="auto"/>
        <w:bottom w:val="none" w:sz="0" w:space="0" w:color="auto"/>
        <w:right w:val="none" w:sz="0" w:space="0" w:color="auto"/>
      </w:divBdr>
    </w:div>
    <w:div w:id="557791179">
      <w:bodyDiv w:val="1"/>
      <w:marLeft w:val="0"/>
      <w:marRight w:val="0"/>
      <w:marTop w:val="0"/>
      <w:marBottom w:val="0"/>
      <w:divBdr>
        <w:top w:val="none" w:sz="0" w:space="0" w:color="auto"/>
        <w:left w:val="none" w:sz="0" w:space="0" w:color="auto"/>
        <w:bottom w:val="none" w:sz="0" w:space="0" w:color="auto"/>
        <w:right w:val="none" w:sz="0" w:space="0" w:color="auto"/>
      </w:divBdr>
    </w:div>
    <w:div w:id="563106566">
      <w:bodyDiv w:val="1"/>
      <w:marLeft w:val="0"/>
      <w:marRight w:val="0"/>
      <w:marTop w:val="0"/>
      <w:marBottom w:val="0"/>
      <w:divBdr>
        <w:top w:val="none" w:sz="0" w:space="0" w:color="auto"/>
        <w:left w:val="none" w:sz="0" w:space="0" w:color="auto"/>
        <w:bottom w:val="none" w:sz="0" w:space="0" w:color="auto"/>
        <w:right w:val="none" w:sz="0" w:space="0" w:color="auto"/>
      </w:divBdr>
    </w:div>
    <w:div w:id="572660869">
      <w:bodyDiv w:val="1"/>
      <w:marLeft w:val="0"/>
      <w:marRight w:val="0"/>
      <w:marTop w:val="0"/>
      <w:marBottom w:val="0"/>
      <w:divBdr>
        <w:top w:val="none" w:sz="0" w:space="0" w:color="auto"/>
        <w:left w:val="none" w:sz="0" w:space="0" w:color="auto"/>
        <w:bottom w:val="none" w:sz="0" w:space="0" w:color="auto"/>
        <w:right w:val="none" w:sz="0" w:space="0" w:color="auto"/>
      </w:divBdr>
    </w:div>
    <w:div w:id="578832615">
      <w:bodyDiv w:val="1"/>
      <w:marLeft w:val="0"/>
      <w:marRight w:val="0"/>
      <w:marTop w:val="0"/>
      <w:marBottom w:val="0"/>
      <w:divBdr>
        <w:top w:val="none" w:sz="0" w:space="0" w:color="auto"/>
        <w:left w:val="none" w:sz="0" w:space="0" w:color="auto"/>
        <w:bottom w:val="none" w:sz="0" w:space="0" w:color="auto"/>
        <w:right w:val="none" w:sz="0" w:space="0" w:color="auto"/>
      </w:divBdr>
      <w:divsChild>
        <w:div w:id="1471511262">
          <w:marLeft w:val="1267"/>
          <w:marRight w:val="0"/>
          <w:marTop w:val="120"/>
          <w:marBottom w:val="120"/>
          <w:divBdr>
            <w:top w:val="none" w:sz="0" w:space="0" w:color="auto"/>
            <w:left w:val="none" w:sz="0" w:space="0" w:color="auto"/>
            <w:bottom w:val="none" w:sz="0" w:space="0" w:color="auto"/>
            <w:right w:val="none" w:sz="0" w:space="0" w:color="auto"/>
          </w:divBdr>
        </w:div>
        <w:div w:id="529490692">
          <w:marLeft w:val="1267"/>
          <w:marRight w:val="0"/>
          <w:marTop w:val="120"/>
          <w:marBottom w:val="120"/>
          <w:divBdr>
            <w:top w:val="none" w:sz="0" w:space="0" w:color="auto"/>
            <w:left w:val="none" w:sz="0" w:space="0" w:color="auto"/>
            <w:bottom w:val="none" w:sz="0" w:space="0" w:color="auto"/>
            <w:right w:val="none" w:sz="0" w:space="0" w:color="auto"/>
          </w:divBdr>
        </w:div>
        <w:div w:id="1226188323">
          <w:marLeft w:val="1267"/>
          <w:marRight w:val="0"/>
          <w:marTop w:val="120"/>
          <w:marBottom w:val="120"/>
          <w:divBdr>
            <w:top w:val="none" w:sz="0" w:space="0" w:color="auto"/>
            <w:left w:val="none" w:sz="0" w:space="0" w:color="auto"/>
            <w:bottom w:val="none" w:sz="0" w:space="0" w:color="auto"/>
            <w:right w:val="none" w:sz="0" w:space="0" w:color="auto"/>
          </w:divBdr>
        </w:div>
        <w:div w:id="598831949">
          <w:marLeft w:val="1267"/>
          <w:marRight w:val="0"/>
          <w:marTop w:val="120"/>
          <w:marBottom w:val="120"/>
          <w:divBdr>
            <w:top w:val="none" w:sz="0" w:space="0" w:color="auto"/>
            <w:left w:val="none" w:sz="0" w:space="0" w:color="auto"/>
            <w:bottom w:val="none" w:sz="0" w:space="0" w:color="auto"/>
            <w:right w:val="none" w:sz="0" w:space="0" w:color="auto"/>
          </w:divBdr>
        </w:div>
        <w:div w:id="17895173">
          <w:marLeft w:val="1267"/>
          <w:marRight w:val="0"/>
          <w:marTop w:val="120"/>
          <w:marBottom w:val="120"/>
          <w:divBdr>
            <w:top w:val="none" w:sz="0" w:space="0" w:color="auto"/>
            <w:left w:val="none" w:sz="0" w:space="0" w:color="auto"/>
            <w:bottom w:val="none" w:sz="0" w:space="0" w:color="auto"/>
            <w:right w:val="none" w:sz="0" w:space="0" w:color="auto"/>
          </w:divBdr>
        </w:div>
        <w:div w:id="1579752858">
          <w:marLeft w:val="1267"/>
          <w:marRight w:val="0"/>
          <w:marTop w:val="120"/>
          <w:marBottom w:val="120"/>
          <w:divBdr>
            <w:top w:val="none" w:sz="0" w:space="0" w:color="auto"/>
            <w:left w:val="none" w:sz="0" w:space="0" w:color="auto"/>
            <w:bottom w:val="none" w:sz="0" w:space="0" w:color="auto"/>
            <w:right w:val="none" w:sz="0" w:space="0" w:color="auto"/>
          </w:divBdr>
        </w:div>
      </w:divsChild>
    </w:div>
    <w:div w:id="684795734">
      <w:bodyDiv w:val="1"/>
      <w:marLeft w:val="0"/>
      <w:marRight w:val="0"/>
      <w:marTop w:val="0"/>
      <w:marBottom w:val="0"/>
      <w:divBdr>
        <w:top w:val="none" w:sz="0" w:space="0" w:color="auto"/>
        <w:left w:val="none" w:sz="0" w:space="0" w:color="auto"/>
        <w:bottom w:val="none" w:sz="0" w:space="0" w:color="auto"/>
        <w:right w:val="none" w:sz="0" w:space="0" w:color="auto"/>
      </w:divBdr>
    </w:div>
    <w:div w:id="701563073">
      <w:bodyDiv w:val="1"/>
      <w:marLeft w:val="0"/>
      <w:marRight w:val="0"/>
      <w:marTop w:val="0"/>
      <w:marBottom w:val="0"/>
      <w:divBdr>
        <w:top w:val="none" w:sz="0" w:space="0" w:color="auto"/>
        <w:left w:val="none" w:sz="0" w:space="0" w:color="auto"/>
        <w:bottom w:val="none" w:sz="0" w:space="0" w:color="auto"/>
        <w:right w:val="none" w:sz="0" w:space="0" w:color="auto"/>
      </w:divBdr>
    </w:div>
    <w:div w:id="735054817">
      <w:bodyDiv w:val="1"/>
      <w:marLeft w:val="0"/>
      <w:marRight w:val="0"/>
      <w:marTop w:val="0"/>
      <w:marBottom w:val="0"/>
      <w:divBdr>
        <w:top w:val="none" w:sz="0" w:space="0" w:color="auto"/>
        <w:left w:val="none" w:sz="0" w:space="0" w:color="auto"/>
        <w:bottom w:val="none" w:sz="0" w:space="0" w:color="auto"/>
        <w:right w:val="none" w:sz="0" w:space="0" w:color="auto"/>
      </w:divBdr>
    </w:div>
    <w:div w:id="782456165">
      <w:bodyDiv w:val="1"/>
      <w:marLeft w:val="0"/>
      <w:marRight w:val="0"/>
      <w:marTop w:val="0"/>
      <w:marBottom w:val="0"/>
      <w:divBdr>
        <w:top w:val="none" w:sz="0" w:space="0" w:color="auto"/>
        <w:left w:val="none" w:sz="0" w:space="0" w:color="auto"/>
        <w:bottom w:val="none" w:sz="0" w:space="0" w:color="auto"/>
        <w:right w:val="none" w:sz="0" w:space="0" w:color="auto"/>
      </w:divBdr>
    </w:div>
    <w:div w:id="863595691">
      <w:bodyDiv w:val="1"/>
      <w:marLeft w:val="0"/>
      <w:marRight w:val="0"/>
      <w:marTop w:val="0"/>
      <w:marBottom w:val="0"/>
      <w:divBdr>
        <w:top w:val="none" w:sz="0" w:space="0" w:color="auto"/>
        <w:left w:val="none" w:sz="0" w:space="0" w:color="auto"/>
        <w:bottom w:val="none" w:sz="0" w:space="0" w:color="auto"/>
        <w:right w:val="none" w:sz="0" w:space="0" w:color="auto"/>
      </w:divBdr>
    </w:div>
    <w:div w:id="892157637">
      <w:bodyDiv w:val="1"/>
      <w:marLeft w:val="0"/>
      <w:marRight w:val="0"/>
      <w:marTop w:val="0"/>
      <w:marBottom w:val="0"/>
      <w:divBdr>
        <w:top w:val="none" w:sz="0" w:space="0" w:color="auto"/>
        <w:left w:val="none" w:sz="0" w:space="0" w:color="auto"/>
        <w:bottom w:val="none" w:sz="0" w:space="0" w:color="auto"/>
        <w:right w:val="none" w:sz="0" w:space="0" w:color="auto"/>
      </w:divBdr>
    </w:div>
    <w:div w:id="897475960">
      <w:bodyDiv w:val="1"/>
      <w:marLeft w:val="0"/>
      <w:marRight w:val="0"/>
      <w:marTop w:val="0"/>
      <w:marBottom w:val="0"/>
      <w:divBdr>
        <w:top w:val="none" w:sz="0" w:space="0" w:color="auto"/>
        <w:left w:val="none" w:sz="0" w:space="0" w:color="auto"/>
        <w:bottom w:val="none" w:sz="0" w:space="0" w:color="auto"/>
        <w:right w:val="none" w:sz="0" w:space="0" w:color="auto"/>
      </w:divBdr>
    </w:div>
    <w:div w:id="1072042670">
      <w:bodyDiv w:val="1"/>
      <w:marLeft w:val="0"/>
      <w:marRight w:val="0"/>
      <w:marTop w:val="0"/>
      <w:marBottom w:val="0"/>
      <w:divBdr>
        <w:top w:val="none" w:sz="0" w:space="0" w:color="auto"/>
        <w:left w:val="none" w:sz="0" w:space="0" w:color="auto"/>
        <w:bottom w:val="none" w:sz="0" w:space="0" w:color="auto"/>
        <w:right w:val="none" w:sz="0" w:space="0" w:color="auto"/>
      </w:divBdr>
    </w:div>
    <w:div w:id="1095635932">
      <w:bodyDiv w:val="1"/>
      <w:marLeft w:val="0"/>
      <w:marRight w:val="0"/>
      <w:marTop w:val="0"/>
      <w:marBottom w:val="0"/>
      <w:divBdr>
        <w:top w:val="none" w:sz="0" w:space="0" w:color="auto"/>
        <w:left w:val="none" w:sz="0" w:space="0" w:color="auto"/>
        <w:bottom w:val="none" w:sz="0" w:space="0" w:color="auto"/>
        <w:right w:val="none" w:sz="0" w:space="0" w:color="auto"/>
      </w:divBdr>
    </w:div>
    <w:div w:id="1203593500">
      <w:bodyDiv w:val="1"/>
      <w:marLeft w:val="0"/>
      <w:marRight w:val="0"/>
      <w:marTop w:val="0"/>
      <w:marBottom w:val="0"/>
      <w:divBdr>
        <w:top w:val="none" w:sz="0" w:space="0" w:color="auto"/>
        <w:left w:val="none" w:sz="0" w:space="0" w:color="auto"/>
        <w:bottom w:val="none" w:sz="0" w:space="0" w:color="auto"/>
        <w:right w:val="none" w:sz="0" w:space="0" w:color="auto"/>
      </w:divBdr>
    </w:div>
    <w:div w:id="1254586128">
      <w:bodyDiv w:val="1"/>
      <w:marLeft w:val="0"/>
      <w:marRight w:val="0"/>
      <w:marTop w:val="0"/>
      <w:marBottom w:val="0"/>
      <w:divBdr>
        <w:top w:val="none" w:sz="0" w:space="0" w:color="auto"/>
        <w:left w:val="none" w:sz="0" w:space="0" w:color="auto"/>
        <w:bottom w:val="none" w:sz="0" w:space="0" w:color="auto"/>
        <w:right w:val="none" w:sz="0" w:space="0" w:color="auto"/>
      </w:divBdr>
    </w:div>
    <w:div w:id="1272468571">
      <w:bodyDiv w:val="1"/>
      <w:marLeft w:val="0"/>
      <w:marRight w:val="0"/>
      <w:marTop w:val="0"/>
      <w:marBottom w:val="0"/>
      <w:divBdr>
        <w:top w:val="none" w:sz="0" w:space="0" w:color="auto"/>
        <w:left w:val="none" w:sz="0" w:space="0" w:color="auto"/>
        <w:bottom w:val="none" w:sz="0" w:space="0" w:color="auto"/>
        <w:right w:val="none" w:sz="0" w:space="0" w:color="auto"/>
      </w:divBdr>
    </w:div>
    <w:div w:id="1346403969">
      <w:bodyDiv w:val="1"/>
      <w:marLeft w:val="0"/>
      <w:marRight w:val="0"/>
      <w:marTop w:val="0"/>
      <w:marBottom w:val="0"/>
      <w:divBdr>
        <w:top w:val="none" w:sz="0" w:space="0" w:color="auto"/>
        <w:left w:val="none" w:sz="0" w:space="0" w:color="auto"/>
        <w:bottom w:val="none" w:sz="0" w:space="0" w:color="auto"/>
        <w:right w:val="none" w:sz="0" w:space="0" w:color="auto"/>
      </w:divBdr>
    </w:div>
    <w:div w:id="1354726444">
      <w:bodyDiv w:val="1"/>
      <w:marLeft w:val="0"/>
      <w:marRight w:val="0"/>
      <w:marTop w:val="0"/>
      <w:marBottom w:val="0"/>
      <w:divBdr>
        <w:top w:val="none" w:sz="0" w:space="0" w:color="auto"/>
        <w:left w:val="none" w:sz="0" w:space="0" w:color="auto"/>
        <w:bottom w:val="none" w:sz="0" w:space="0" w:color="auto"/>
        <w:right w:val="none" w:sz="0" w:space="0" w:color="auto"/>
      </w:divBdr>
    </w:div>
    <w:div w:id="1486507308">
      <w:bodyDiv w:val="1"/>
      <w:marLeft w:val="0"/>
      <w:marRight w:val="0"/>
      <w:marTop w:val="0"/>
      <w:marBottom w:val="0"/>
      <w:divBdr>
        <w:top w:val="none" w:sz="0" w:space="0" w:color="auto"/>
        <w:left w:val="none" w:sz="0" w:space="0" w:color="auto"/>
        <w:bottom w:val="none" w:sz="0" w:space="0" w:color="auto"/>
        <w:right w:val="none" w:sz="0" w:space="0" w:color="auto"/>
      </w:divBdr>
    </w:div>
    <w:div w:id="1542206058">
      <w:bodyDiv w:val="1"/>
      <w:marLeft w:val="0"/>
      <w:marRight w:val="0"/>
      <w:marTop w:val="0"/>
      <w:marBottom w:val="0"/>
      <w:divBdr>
        <w:top w:val="none" w:sz="0" w:space="0" w:color="auto"/>
        <w:left w:val="none" w:sz="0" w:space="0" w:color="auto"/>
        <w:bottom w:val="none" w:sz="0" w:space="0" w:color="auto"/>
        <w:right w:val="none" w:sz="0" w:space="0" w:color="auto"/>
      </w:divBdr>
    </w:div>
    <w:div w:id="1558277774">
      <w:bodyDiv w:val="1"/>
      <w:marLeft w:val="0"/>
      <w:marRight w:val="0"/>
      <w:marTop w:val="0"/>
      <w:marBottom w:val="0"/>
      <w:divBdr>
        <w:top w:val="none" w:sz="0" w:space="0" w:color="auto"/>
        <w:left w:val="none" w:sz="0" w:space="0" w:color="auto"/>
        <w:bottom w:val="none" w:sz="0" w:space="0" w:color="auto"/>
        <w:right w:val="none" w:sz="0" w:space="0" w:color="auto"/>
      </w:divBdr>
    </w:div>
    <w:div w:id="1567104020">
      <w:bodyDiv w:val="1"/>
      <w:marLeft w:val="0"/>
      <w:marRight w:val="0"/>
      <w:marTop w:val="0"/>
      <w:marBottom w:val="0"/>
      <w:divBdr>
        <w:top w:val="none" w:sz="0" w:space="0" w:color="auto"/>
        <w:left w:val="none" w:sz="0" w:space="0" w:color="auto"/>
        <w:bottom w:val="none" w:sz="0" w:space="0" w:color="auto"/>
        <w:right w:val="none" w:sz="0" w:space="0" w:color="auto"/>
      </w:divBdr>
    </w:div>
    <w:div w:id="1584996378">
      <w:bodyDiv w:val="1"/>
      <w:marLeft w:val="0"/>
      <w:marRight w:val="0"/>
      <w:marTop w:val="0"/>
      <w:marBottom w:val="0"/>
      <w:divBdr>
        <w:top w:val="none" w:sz="0" w:space="0" w:color="auto"/>
        <w:left w:val="none" w:sz="0" w:space="0" w:color="auto"/>
        <w:bottom w:val="none" w:sz="0" w:space="0" w:color="auto"/>
        <w:right w:val="none" w:sz="0" w:space="0" w:color="auto"/>
      </w:divBdr>
    </w:div>
    <w:div w:id="1734622113">
      <w:bodyDiv w:val="1"/>
      <w:marLeft w:val="0"/>
      <w:marRight w:val="0"/>
      <w:marTop w:val="0"/>
      <w:marBottom w:val="0"/>
      <w:divBdr>
        <w:top w:val="none" w:sz="0" w:space="0" w:color="auto"/>
        <w:left w:val="none" w:sz="0" w:space="0" w:color="auto"/>
        <w:bottom w:val="none" w:sz="0" w:space="0" w:color="auto"/>
        <w:right w:val="none" w:sz="0" w:space="0" w:color="auto"/>
      </w:divBdr>
    </w:div>
    <w:div w:id="1831209339">
      <w:bodyDiv w:val="1"/>
      <w:marLeft w:val="0"/>
      <w:marRight w:val="0"/>
      <w:marTop w:val="0"/>
      <w:marBottom w:val="0"/>
      <w:divBdr>
        <w:top w:val="none" w:sz="0" w:space="0" w:color="auto"/>
        <w:left w:val="none" w:sz="0" w:space="0" w:color="auto"/>
        <w:bottom w:val="none" w:sz="0" w:space="0" w:color="auto"/>
        <w:right w:val="none" w:sz="0" w:space="0" w:color="auto"/>
      </w:divBdr>
    </w:div>
    <w:div w:id="1937519097">
      <w:bodyDiv w:val="1"/>
      <w:marLeft w:val="0"/>
      <w:marRight w:val="0"/>
      <w:marTop w:val="0"/>
      <w:marBottom w:val="0"/>
      <w:divBdr>
        <w:top w:val="none" w:sz="0" w:space="0" w:color="auto"/>
        <w:left w:val="none" w:sz="0" w:space="0" w:color="auto"/>
        <w:bottom w:val="none" w:sz="0" w:space="0" w:color="auto"/>
        <w:right w:val="none" w:sz="0" w:space="0" w:color="auto"/>
      </w:divBdr>
    </w:div>
    <w:div w:id="2029791010">
      <w:bodyDiv w:val="1"/>
      <w:marLeft w:val="0"/>
      <w:marRight w:val="0"/>
      <w:marTop w:val="0"/>
      <w:marBottom w:val="0"/>
      <w:divBdr>
        <w:top w:val="none" w:sz="0" w:space="0" w:color="auto"/>
        <w:left w:val="none" w:sz="0" w:space="0" w:color="auto"/>
        <w:bottom w:val="none" w:sz="0" w:space="0" w:color="auto"/>
        <w:right w:val="none" w:sz="0" w:space="0" w:color="auto"/>
      </w:divBdr>
    </w:div>
    <w:div w:id="2047680972">
      <w:bodyDiv w:val="1"/>
      <w:marLeft w:val="0"/>
      <w:marRight w:val="0"/>
      <w:marTop w:val="0"/>
      <w:marBottom w:val="0"/>
      <w:divBdr>
        <w:top w:val="none" w:sz="0" w:space="0" w:color="auto"/>
        <w:left w:val="none" w:sz="0" w:space="0" w:color="auto"/>
        <w:bottom w:val="none" w:sz="0" w:space="0" w:color="auto"/>
        <w:right w:val="none" w:sz="0" w:space="0" w:color="auto"/>
      </w:divBdr>
    </w:div>
    <w:div w:id="2064207356">
      <w:bodyDiv w:val="1"/>
      <w:marLeft w:val="0"/>
      <w:marRight w:val="0"/>
      <w:marTop w:val="0"/>
      <w:marBottom w:val="0"/>
      <w:divBdr>
        <w:top w:val="none" w:sz="0" w:space="0" w:color="auto"/>
        <w:left w:val="none" w:sz="0" w:space="0" w:color="auto"/>
        <w:bottom w:val="none" w:sz="0" w:space="0" w:color="auto"/>
        <w:right w:val="none" w:sz="0" w:space="0" w:color="auto"/>
      </w:divBdr>
    </w:div>
    <w:div w:id="213956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eurosunmining.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 M T D O C S ! 4 3 9 4 0 3 2 4 . 4 < / d o c u m e n t i d >  
     < s e n d e r i d > C L E H A N < / s e n d e r i d >  
     < s e n d e r e m a i l > C L E H A N @ M C C A R T H Y . C A < / s e n d e r e m a i l >  
     < l a s t m o d i f i e d > 2 0 2 2 - 0 2 - 0 9 T 1 2 : 4 9 : 0 0 . 0 0 0 0 0 0 0 - 0 5 : 0 0 < / l a s t m o d i f i e d >  
     < d a t a b a s e > M T D O C S < / d a t a b a s e >  
 < / p r o p e r t i e s > 
</file>

<file path=customXml/itemProps1.xml><?xml version="1.0" encoding="utf-8"?>
<ds:datastoreItem xmlns:ds="http://schemas.openxmlformats.org/officeDocument/2006/customXml" ds:itemID="{97E8FD62-0D41-4436-BBDB-851B0413DADE}">
  <ds:schemaRefs>
    <ds:schemaRef ds:uri="http://schemas.openxmlformats.org/officeDocument/2006/bibliography"/>
  </ds:schemaRefs>
</ds:datastoreItem>
</file>

<file path=customXml/itemProps2.xml><?xml version="1.0" encoding="utf-8"?>
<ds:datastoreItem xmlns:ds="http://schemas.openxmlformats.org/officeDocument/2006/customXml" ds:itemID="{819C08E0-5444-4718-94E1-2573879C138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3266</Words>
  <Characters>18621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21844</CharactersWithSpaces>
  <SharedDoc>false</SharedDoc>
  <HLinks>
    <vt:vector size="6" baseType="variant">
      <vt:variant>
        <vt:i4>7209029</vt:i4>
      </vt:variant>
      <vt:variant>
        <vt:i4>0</vt:i4>
      </vt:variant>
      <vt:variant>
        <vt:i4>0</vt:i4>
      </vt:variant>
      <vt:variant>
        <vt:i4>5</vt:i4>
      </vt:variant>
      <vt:variant>
        <vt:lpwstr>mailto:info@eurosunmining.com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cp:lastModifiedBy>Brad Humphrey</cp:lastModifiedBy>
  <cp:revision>2</cp:revision>
  <cp:lastPrinted>2022-02-08T22:01:00Z</cp:lastPrinted>
  <dcterms:created xsi:type="dcterms:W3CDTF">2022-02-09T20:26:00Z</dcterms:created>
  <dcterms:modified xsi:type="dcterms:W3CDTF">2022-02-09T20:26:00Z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43940324</vt:lpwstr>
  </property>
  <property fmtid="{D5CDD505-2E9C-101B-9397-08002B2CF9AE}" pid="3" name="DocumentVersion">
    <vt:lpwstr>4</vt:lpwstr>
  </property>
  <property fmtid="{D5CDD505-2E9C-101B-9397-08002B2CF9AE}" pid="4" name="ClientNumber">
    <vt:lpwstr>223494</vt:lpwstr>
  </property>
  <property fmtid="{D5CDD505-2E9C-101B-9397-08002B2CF9AE}" pid="5" name="MatterNumber">
    <vt:lpwstr>528681</vt:lpwstr>
  </property>
  <property fmtid="{D5CDD505-2E9C-101B-9397-08002B2CF9AE}" pid="6" name="ClientName">
    <vt:lpwstr>Euro Sun Mining Inc.</vt:lpwstr>
  </property>
  <property fmtid="{D5CDD505-2E9C-101B-9397-08002B2CF9AE}" pid="7" name="MatterName">
    <vt:lpwstr>General Corporate Matters</vt:lpwstr>
  </property>
  <property fmtid="{D5CDD505-2E9C-101B-9397-08002B2CF9AE}" pid="8" name="DatabaseName">
    <vt:lpwstr>MTDOCS</vt:lpwstr>
  </property>
  <property fmtid="{D5CDD505-2E9C-101B-9397-08002B2CF9AE}" pid="9" name="TypistName">
    <vt:lpwstr>CLEHAN</vt:lpwstr>
  </property>
  <property fmtid="{D5CDD505-2E9C-101B-9397-08002B2CF9AE}" pid="10" name="AuthorName">
    <vt:lpwstr>CLEHAN</vt:lpwstr>
  </property>
  <property fmtid="{D5CDD505-2E9C-101B-9397-08002B2CF9AE}" pid="11" name="InUseBy">
    <vt:lpwstr>CLEHAN</vt:lpwstr>
  </property>
  <property fmtid="{D5CDD505-2E9C-101B-9397-08002B2CF9AE}" pid="12" name="EditDate">
    <vt:lpwstr>02/09/22 5:36:35 PM</vt:lpwstr>
  </property>
  <property fmtid="{D5CDD505-2E9C-101B-9397-08002B2CF9AE}" pid="13" name="EditTime">
    <vt:lpwstr/>
  </property>
  <property fmtid="{D5CDD505-2E9C-101B-9397-08002B2CF9AE}" pid="14" name="IsiManageWork">
    <vt:lpwstr>True</vt:lpwstr>
  </property>
</Properties>
</file>